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B6A2BDA" w14:textId="77777777" w:rsidR="0087653C" w:rsidRDefault="000E6959" w:rsidP="0087653C">
      <w:r>
        <w:fldChar w:fldCharType="begin"/>
      </w:r>
      <w:r>
        <w:instrText xml:space="preserve"> HYPERLINK "https://employment-social-affairs.ec.europa.eu/policies-and-activities/eu-employme</w:instrText>
      </w:r>
      <w:r>
        <w:instrText xml:space="preserve">nt-policies/youth-employment-support/traineeships_en" </w:instrText>
      </w:r>
      <w:r>
        <w:fldChar w:fldCharType="separate"/>
      </w:r>
      <w:r w:rsidR="0087653C" w:rsidRPr="00032485">
        <w:rPr>
          <w:rStyle w:val="Hipercze"/>
        </w:rPr>
        <w:t>https://employment-social-affairs.ec.europa.eu/policies-and-activities/eu-employment-policies/youth-employment-support/traineeships_en</w:t>
      </w:r>
      <w:r>
        <w:rPr>
          <w:rStyle w:val="Hipercze"/>
        </w:rPr>
        <w:fldChar w:fldCharType="end"/>
      </w:r>
    </w:p>
    <w:p w14:paraId="532117AC" w14:textId="77777777" w:rsidR="0087653C" w:rsidRPr="0087653C" w:rsidRDefault="0087653C" w:rsidP="000E4A3F">
      <w:pPr>
        <w:spacing w:before="120" w:after="120" w:line="240" w:lineRule="auto"/>
        <w:rPr>
          <w:sz w:val="24"/>
          <w:szCs w:val="24"/>
        </w:rPr>
      </w:pPr>
      <w:r w:rsidRPr="0087653C">
        <w:rPr>
          <w:rFonts w:ascii="Arial" w:eastAsia="Times New Roman" w:hAnsi="Arial" w:cs="Arial"/>
          <w:color w:val="00002E"/>
          <w:kern w:val="0"/>
          <w:sz w:val="24"/>
          <w:szCs w:val="24"/>
          <w:lang w:eastAsia="pl-PL"/>
          <w14:ligatures w14:val="none"/>
        </w:rPr>
        <w:t>Staże to ograniczone okresy praktyki zawodowej z istotnym elementem uczenia się i szkolenia. Wysokiej jakości staże mogą pomóc młodym ludziom w zdobyciu praktycznego doświadczenia zawodowego, zdobyciu nowych umiejętności i znalezieniu pracy. Dla pracodawców są one okazją do przyciągania, szkolenia i zatrzymywania talentów.</w:t>
      </w:r>
    </w:p>
    <w:p w14:paraId="3795F448"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Działania na szczeblu UE na rzecz poprawy (jakości) staży</w:t>
      </w:r>
    </w:p>
    <w:p w14:paraId="0EC93CFC"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 2024 </w:t>
      </w:r>
      <w:hyperlink r:id="rId5" w:history="1">
        <w:r w:rsidRPr="0087653C">
          <w:rPr>
            <w:rFonts w:ascii="Arial" w:eastAsia="Times New Roman" w:hAnsi="Arial" w:cs="Arial"/>
            <w:color w:val="0046FF"/>
            <w:kern w:val="0"/>
            <w:sz w:val="24"/>
            <w:szCs w:val="24"/>
            <w:u w:val="single"/>
            <w:lang w:eastAsia="pl-PL"/>
            <w14:ligatures w14:val="none"/>
          </w:rPr>
          <w:t>r. Komisja zaproponowała inicjatywę mającą</w:t>
        </w:r>
      </w:hyperlink>
      <w:r w:rsidRPr="0087653C">
        <w:rPr>
          <w:rFonts w:ascii="Arial" w:eastAsia="Times New Roman" w:hAnsi="Arial" w:cs="Arial"/>
          <w:color w:val="00002E"/>
          <w:kern w:val="0"/>
          <w:sz w:val="24"/>
          <w:szCs w:val="24"/>
          <w:lang w:eastAsia="pl-PL"/>
          <w14:ligatures w14:val="none"/>
        </w:rPr>
        <w:t> na celu wzmocnienie </w:t>
      </w:r>
      <w:hyperlink r:id="rId6" w:anchor="paragraph_4443" w:history="1">
        <w:r w:rsidRPr="0087653C">
          <w:rPr>
            <w:rFonts w:ascii="Arial" w:eastAsia="Times New Roman" w:hAnsi="Arial" w:cs="Arial"/>
            <w:color w:val="0046FF"/>
            <w:kern w:val="0"/>
            <w:sz w:val="24"/>
            <w:szCs w:val="24"/>
            <w:u w:val="single"/>
            <w:lang w:eastAsia="pl-PL"/>
            <w14:ligatures w14:val="none"/>
          </w:rPr>
          <w:t>obecnego zalecenia w sprawie staży</w:t>
        </w:r>
      </w:hyperlink>
      <w:r w:rsidRPr="0087653C">
        <w:rPr>
          <w:rFonts w:ascii="Arial" w:eastAsia="Times New Roman" w:hAnsi="Arial" w:cs="Arial"/>
          <w:color w:val="00002E"/>
          <w:kern w:val="0"/>
          <w:sz w:val="24"/>
          <w:szCs w:val="24"/>
          <w:lang w:eastAsia="pl-PL"/>
          <w14:ligatures w14:val="none"/>
        </w:rPr>
        <w:t>. Nowa inicjatywa Komisji składa się z:</w:t>
      </w:r>
    </w:p>
    <w:p w14:paraId="59354651" w14:textId="77777777" w:rsidR="0087653C" w:rsidRPr="0087653C" w:rsidRDefault="000E6959" w:rsidP="000E4A3F">
      <w:pPr>
        <w:numPr>
          <w:ilvl w:val="0"/>
          <w:numId w:val="1"/>
        </w:numPr>
        <w:spacing w:before="120" w:after="120" w:line="240" w:lineRule="auto"/>
        <w:rPr>
          <w:rFonts w:ascii="Arial" w:eastAsia="Times New Roman" w:hAnsi="Arial" w:cs="Arial"/>
          <w:color w:val="00002E"/>
          <w:kern w:val="0"/>
          <w:sz w:val="24"/>
          <w:szCs w:val="24"/>
          <w:lang w:eastAsia="pl-PL"/>
          <w14:ligatures w14:val="none"/>
        </w:rPr>
      </w:pPr>
      <w:hyperlink r:id="rId7" w:history="1">
        <w:r w:rsidR="0087653C" w:rsidRPr="0087653C">
          <w:rPr>
            <w:rFonts w:ascii="Arial" w:eastAsia="Times New Roman" w:hAnsi="Arial" w:cs="Arial"/>
            <w:color w:val="0046FF"/>
            <w:kern w:val="0"/>
            <w:sz w:val="24"/>
            <w:szCs w:val="24"/>
            <w:u w:val="single"/>
            <w:lang w:eastAsia="pl-PL"/>
            <w14:ligatures w14:val="none"/>
          </w:rPr>
          <w:t>wniosek dotyczący dyrektywy</w:t>
        </w:r>
      </w:hyperlink>
      <w:r w:rsidR="0087653C" w:rsidRPr="0087653C">
        <w:rPr>
          <w:rFonts w:ascii="Arial" w:eastAsia="Times New Roman" w:hAnsi="Arial" w:cs="Arial"/>
          <w:color w:val="00002E"/>
          <w:kern w:val="0"/>
          <w:sz w:val="24"/>
          <w:szCs w:val="24"/>
          <w:lang w:eastAsia="pl-PL"/>
          <w14:ligatures w14:val="none"/>
        </w:rPr>
        <w:t> w sprawie poprawy i egzekwowania warunków pracy stażystów oraz zwalczania stałych stosunków pracy podszywających się pod praktyki zawodowe oraz</w:t>
      </w:r>
    </w:p>
    <w:p w14:paraId="6BD78929" w14:textId="77777777" w:rsidR="0087653C" w:rsidRPr="0087653C" w:rsidRDefault="000E6959" w:rsidP="000E4A3F">
      <w:pPr>
        <w:numPr>
          <w:ilvl w:val="0"/>
          <w:numId w:val="1"/>
        </w:numPr>
        <w:spacing w:before="120" w:after="120" w:line="240" w:lineRule="auto"/>
        <w:rPr>
          <w:rFonts w:ascii="Arial" w:eastAsia="Times New Roman" w:hAnsi="Arial" w:cs="Arial"/>
          <w:color w:val="00002E"/>
          <w:kern w:val="0"/>
          <w:sz w:val="24"/>
          <w:szCs w:val="24"/>
          <w:lang w:eastAsia="pl-PL"/>
          <w14:ligatures w14:val="none"/>
        </w:rPr>
      </w:pPr>
      <w:hyperlink r:id="rId8" w:history="1">
        <w:r w:rsidR="0087653C" w:rsidRPr="0087653C">
          <w:rPr>
            <w:rFonts w:ascii="Arial" w:eastAsia="Times New Roman" w:hAnsi="Arial" w:cs="Arial"/>
            <w:color w:val="0046FF"/>
            <w:kern w:val="0"/>
            <w:sz w:val="24"/>
            <w:szCs w:val="24"/>
            <w:u w:val="single"/>
            <w:lang w:eastAsia="pl-PL"/>
            <w14:ligatures w14:val="none"/>
          </w:rPr>
          <w:t>wniosek mający na celu wzmocnienie zalecenia Rady z 2014</w:t>
        </w:r>
      </w:hyperlink>
      <w:r w:rsidR="0087653C" w:rsidRPr="0087653C">
        <w:rPr>
          <w:rFonts w:ascii="Arial" w:eastAsia="Times New Roman" w:hAnsi="Arial" w:cs="Arial"/>
          <w:color w:val="00002E"/>
          <w:kern w:val="0"/>
          <w:sz w:val="24"/>
          <w:szCs w:val="24"/>
          <w:lang w:eastAsia="pl-PL"/>
          <w14:ligatures w14:val="none"/>
        </w:rPr>
        <w:t> r. w sprawie ram jakości staży w celu rozwiązania problemów związanych z jakością i włączeniem społecznym, takich jak sprawiedliwe wynagrodzenie i dostęp do ochrony socjalnej.</w:t>
      </w:r>
    </w:p>
    <w:p w14:paraId="46B5CDC6"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Celem wniosków jest to, aby praktyki zawodowe zapewniały rzeczywistą naukę i doświadczenie zawodowe, co ułatwiłoby stażystom </w:t>
      </w:r>
      <w:r w:rsidRPr="0087653C">
        <w:rPr>
          <w:rFonts w:ascii="Arial" w:eastAsia="Times New Roman" w:hAnsi="Arial" w:cs="Arial"/>
          <w:b/>
          <w:bCs/>
          <w:color w:val="00002E"/>
          <w:kern w:val="0"/>
          <w:sz w:val="24"/>
          <w:szCs w:val="24"/>
          <w:lang w:eastAsia="pl-PL"/>
          <w14:ligatures w14:val="none"/>
        </w:rPr>
        <w:t>przejście od kształcenia do pracy</w:t>
      </w:r>
      <w:r w:rsidRPr="0087653C">
        <w:rPr>
          <w:rFonts w:ascii="Arial" w:eastAsia="Times New Roman" w:hAnsi="Arial" w:cs="Arial"/>
          <w:color w:val="00002E"/>
          <w:kern w:val="0"/>
          <w:sz w:val="24"/>
          <w:szCs w:val="24"/>
          <w:lang w:eastAsia="pl-PL"/>
          <w14:ligatures w14:val="none"/>
        </w:rPr>
        <w:t> lub od pracy do pracy. Wnioski mają również na celu zagwarantowanie bardziej </w:t>
      </w:r>
      <w:r w:rsidRPr="0087653C">
        <w:rPr>
          <w:rFonts w:ascii="Arial" w:eastAsia="Times New Roman" w:hAnsi="Arial" w:cs="Arial"/>
          <w:b/>
          <w:bCs/>
          <w:color w:val="00002E"/>
          <w:kern w:val="0"/>
          <w:sz w:val="24"/>
          <w:szCs w:val="24"/>
          <w:lang w:eastAsia="pl-PL"/>
          <w14:ligatures w14:val="none"/>
        </w:rPr>
        <w:t>równego dostępu dla wszystkich</w:t>
      </w:r>
      <w:r w:rsidRPr="0087653C">
        <w:rPr>
          <w:rFonts w:ascii="Arial" w:eastAsia="Times New Roman" w:hAnsi="Arial" w:cs="Arial"/>
          <w:color w:val="00002E"/>
          <w:kern w:val="0"/>
          <w:sz w:val="24"/>
          <w:szCs w:val="24"/>
          <w:lang w:eastAsia="pl-PL"/>
          <w14:ligatures w14:val="none"/>
        </w:rPr>
        <w:t> osób zainteresowanych odbyciem stażu. Z punktu widzenia przedsiębiorstw wniosek ma na celu zapewnienie równych warunków działania i </w:t>
      </w:r>
      <w:r w:rsidRPr="0087653C">
        <w:rPr>
          <w:rFonts w:ascii="Arial" w:eastAsia="Times New Roman" w:hAnsi="Arial" w:cs="Arial"/>
          <w:b/>
          <w:bCs/>
          <w:color w:val="00002E"/>
          <w:kern w:val="0"/>
          <w:sz w:val="24"/>
          <w:szCs w:val="24"/>
          <w:lang w:eastAsia="pl-PL"/>
          <w14:ligatures w14:val="none"/>
        </w:rPr>
        <w:t>ograniczenie nieuczciwej konkurencji</w:t>
      </w:r>
      <w:r w:rsidRPr="0087653C">
        <w:rPr>
          <w:rFonts w:ascii="Arial" w:eastAsia="Times New Roman" w:hAnsi="Arial" w:cs="Arial"/>
          <w:color w:val="00002E"/>
          <w:kern w:val="0"/>
          <w:sz w:val="24"/>
          <w:szCs w:val="24"/>
          <w:lang w:eastAsia="pl-PL"/>
          <w14:ligatures w14:val="none"/>
        </w:rPr>
        <w:t> w całej Unii Europejskiej, ponieważ przedsiębiorstwa nie będą mogły ukrywać stałych stosunków pracy pod przykrywką staży.</w:t>
      </w:r>
    </w:p>
    <w:p w14:paraId="47A403B7"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Wniosek Komisji opierał się na wynikach </w:t>
      </w:r>
      <w:hyperlink r:id="rId9" w:history="1">
        <w:r w:rsidRPr="0087653C">
          <w:rPr>
            <w:rFonts w:ascii="Arial" w:eastAsia="Times New Roman" w:hAnsi="Arial" w:cs="Arial"/>
            <w:color w:val="0046FF"/>
            <w:kern w:val="0"/>
            <w:sz w:val="24"/>
            <w:szCs w:val="24"/>
            <w:u w:val="single"/>
            <w:lang w:eastAsia="pl-PL"/>
            <w14:ligatures w14:val="none"/>
          </w:rPr>
          <w:t>oceny istniejących ram jakości</w:t>
        </w:r>
      </w:hyperlink>
      <w:r w:rsidRPr="0087653C">
        <w:rPr>
          <w:rFonts w:ascii="Arial" w:eastAsia="Times New Roman" w:hAnsi="Arial" w:cs="Arial"/>
          <w:color w:val="00002E"/>
          <w:kern w:val="0"/>
          <w:sz w:val="24"/>
          <w:szCs w:val="24"/>
          <w:lang w:eastAsia="pl-PL"/>
          <w14:ligatures w14:val="none"/>
        </w:rPr>
        <w:t> i towarzyszyła </w:t>
      </w:r>
      <w:hyperlink r:id="rId10" w:history="1">
        <w:r w:rsidRPr="0087653C">
          <w:rPr>
            <w:rFonts w:ascii="Arial" w:eastAsia="Times New Roman" w:hAnsi="Arial" w:cs="Arial"/>
            <w:color w:val="0046FF"/>
            <w:kern w:val="0"/>
            <w:sz w:val="24"/>
            <w:szCs w:val="24"/>
            <w:u w:val="single"/>
            <w:lang w:eastAsia="pl-PL"/>
            <w14:ligatures w14:val="none"/>
          </w:rPr>
          <w:t>mu ocena skutków</w:t>
        </w:r>
      </w:hyperlink>
      <w:r w:rsidRPr="0087653C">
        <w:rPr>
          <w:rFonts w:ascii="Arial" w:eastAsia="Times New Roman" w:hAnsi="Arial" w:cs="Arial"/>
          <w:color w:val="00002E"/>
          <w:kern w:val="0"/>
          <w:sz w:val="24"/>
          <w:szCs w:val="24"/>
          <w:lang w:eastAsia="pl-PL"/>
          <w14:ligatures w14:val="none"/>
        </w:rPr>
        <w:t>, </w:t>
      </w:r>
      <w:hyperlink r:id="rId11" w:history="1">
        <w:r w:rsidRPr="0087653C">
          <w:rPr>
            <w:rFonts w:ascii="Arial" w:eastAsia="Times New Roman" w:hAnsi="Arial" w:cs="Arial"/>
            <w:color w:val="0046FF"/>
            <w:kern w:val="0"/>
            <w:sz w:val="24"/>
            <w:szCs w:val="24"/>
            <w:u w:val="single"/>
            <w:lang w:eastAsia="pl-PL"/>
            <w14:ligatures w14:val="none"/>
          </w:rPr>
          <w:t>a także badanie analizujące konteksty, wyzwania i możliwe rozwiązania</w:t>
        </w:r>
      </w:hyperlink>
      <w:r w:rsidRPr="0087653C">
        <w:rPr>
          <w:rFonts w:ascii="Arial" w:eastAsia="Times New Roman" w:hAnsi="Arial" w:cs="Arial"/>
          <w:color w:val="00002E"/>
          <w:kern w:val="0"/>
          <w:sz w:val="24"/>
          <w:szCs w:val="24"/>
          <w:lang w:eastAsia="pl-PL"/>
          <w14:ligatures w14:val="none"/>
        </w:rPr>
        <w:t> w odniesieniu do jakości staży w UE.</w:t>
      </w:r>
    </w:p>
    <w:p w14:paraId="7A2F54B3"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Inicjatywa ta jest obecnie przedmiotem dyskusji w Radzie, a Parlament Europejski rozpoczął również prace nad sprawozdaniem w sprawie proponowanej dyrektywy w sprawie staży.</w:t>
      </w:r>
    </w:p>
    <w:p w14:paraId="04D15356" w14:textId="77777777" w:rsidR="0087653C" w:rsidRPr="0087653C" w:rsidRDefault="0087653C" w:rsidP="000E4A3F">
      <w:pPr>
        <w:shd w:val="clear" w:color="auto" w:fill="E6EDFF"/>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Ramy jakości staży</w:t>
      </w:r>
    </w:p>
    <w:p w14:paraId="6D76CAE7" w14:textId="77777777" w:rsidR="0087653C" w:rsidRPr="0087653C" w:rsidRDefault="0087653C" w:rsidP="000E4A3F">
      <w:pPr>
        <w:shd w:val="clear" w:color="auto" w:fill="E6EDFF"/>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Obecnie </w:t>
      </w:r>
      <w:hyperlink r:id="rId12" w:history="1">
        <w:r w:rsidRPr="0087653C">
          <w:rPr>
            <w:rFonts w:ascii="Arial" w:eastAsia="Times New Roman" w:hAnsi="Arial" w:cs="Arial"/>
            <w:color w:val="0046FF"/>
            <w:kern w:val="0"/>
            <w:sz w:val="24"/>
            <w:szCs w:val="24"/>
            <w:u w:val="single"/>
            <w:lang w:eastAsia="pl-PL"/>
            <w14:ligatures w14:val="none"/>
          </w:rPr>
          <w:t>zalecenie Rady w sprawie ram jakości staży</w:t>
        </w:r>
      </w:hyperlink>
      <w:r w:rsidRPr="0087653C">
        <w:rPr>
          <w:rFonts w:ascii="Arial" w:eastAsia="Times New Roman" w:hAnsi="Arial" w:cs="Arial"/>
          <w:color w:val="00002E"/>
          <w:kern w:val="0"/>
          <w:sz w:val="24"/>
          <w:szCs w:val="24"/>
          <w:lang w:eastAsia="pl-PL"/>
          <w14:ligatures w14:val="none"/>
        </w:rPr>
        <w:t>, przyjęte w 2014 r., stanowi ramy odniesienia dla promowania wysokiej jakości staży.</w:t>
      </w:r>
    </w:p>
    <w:p w14:paraId="0152F6C2" w14:textId="77777777" w:rsidR="0087653C" w:rsidRPr="0087653C" w:rsidRDefault="0087653C" w:rsidP="000E4A3F">
      <w:pPr>
        <w:shd w:val="clear" w:color="auto" w:fill="E6EDFF"/>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 przypadku staży </w:t>
      </w:r>
      <w:r w:rsidRPr="0087653C">
        <w:rPr>
          <w:rFonts w:ascii="Arial" w:eastAsia="Times New Roman" w:hAnsi="Arial" w:cs="Arial"/>
          <w:b/>
          <w:bCs/>
          <w:color w:val="00002E"/>
          <w:kern w:val="0"/>
          <w:sz w:val="24"/>
          <w:szCs w:val="24"/>
          <w:lang w:eastAsia="pl-PL"/>
          <w14:ligatures w14:val="none"/>
        </w:rPr>
        <w:t>poza kształceniem formalnym</w:t>
      </w:r>
      <w:r w:rsidRPr="0087653C">
        <w:rPr>
          <w:rFonts w:ascii="Arial" w:eastAsia="Times New Roman" w:hAnsi="Arial" w:cs="Arial"/>
          <w:color w:val="00002E"/>
          <w:kern w:val="0"/>
          <w:sz w:val="24"/>
          <w:szCs w:val="24"/>
          <w:lang w:eastAsia="pl-PL"/>
          <w14:ligatures w14:val="none"/>
        </w:rPr>
        <w:t> QFT zaleca </w:t>
      </w:r>
      <w:r w:rsidRPr="0087653C">
        <w:rPr>
          <w:rFonts w:ascii="Arial" w:eastAsia="Times New Roman" w:hAnsi="Arial" w:cs="Arial"/>
          <w:b/>
          <w:bCs/>
          <w:color w:val="00002E"/>
          <w:kern w:val="0"/>
          <w:sz w:val="24"/>
          <w:szCs w:val="24"/>
          <w:lang w:eastAsia="pl-PL"/>
          <w14:ligatures w14:val="none"/>
        </w:rPr>
        <w:t>21 zasad</w:t>
      </w:r>
      <w:r w:rsidRPr="0087653C">
        <w:rPr>
          <w:rFonts w:ascii="Arial" w:eastAsia="Times New Roman" w:hAnsi="Arial" w:cs="Arial"/>
          <w:color w:val="00002E"/>
          <w:kern w:val="0"/>
          <w:sz w:val="24"/>
          <w:szCs w:val="24"/>
          <w:lang w:eastAsia="pl-PL"/>
          <w14:ligatures w14:val="none"/>
        </w:rPr>
        <w:t>, które zawierają wytyczne dotyczące tego, jak zapewnić </w:t>
      </w:r>
      <w:r w:rsidRPr="0087653C">
        <w:rPr>
          <w:rFonts w:ascii="Arial" w:eastAsia="Times New Roman" w:hAnsi="Arial" w:cs="Arial"/>
          <w:b/>
          <w:bCs/>
          <w:color w:val="00002E"/>
          <w:kern w:val="0"/>
          <w:sz w:val="24"/>
          <w:szCs w:val="24"/>
          <w:lang w:eastAsia="pl-PL"/>
          <w14:ligatures w14:val="none"/>
        </w:rPr>
        <w:t>wysokiej jakości treści nauczania</w:t>
      </w:r>
      <w:r w:rsidRPr="0087653C">
        <w:rPr>
          <w:rFonts w:ascii="Arial" w:eastAsia="Times New Roman" w:hAnsi="Arial" w:cs="Arial"/>
          <w:color w:val="00002E"/>
          <w:kern w:val="0"/>
          <w:sz w:val="24"/>
          <w:szCs w:val="24"/>
          <w:lang w:eastAsia="pl-PL"/>
          <w14:ligatures w14:val="none"/>
        </w:rPr>
        <w:t> i </w:t>
      </w:r>
      <w:r w:rsidRPr="0087653C">
        <w:rPr>
          <w:rFonts w:ascii="Arial" w:eastAsia="Times New Roman" w:hAnsi="Arial" w:cs="Arial"/>
          <w:b/>
          <w:bCs/>
          <w:color w:val="00002E"/>
          <w:kern w:val="0"/>
          <w:sz w:val="24"/>
          <w:szCs w:val="24"/>
          <w:lang w:eastAsia="pl-PL"/>
          <w14:ligatures w14:val="none"/>
        </w:rPr>
        <w:t>sprawiedliwe warunki pracy</w:t>
      </w:r>
      <w:r w:rsidRPr="0087653C">
        <w:rPr>
          <w:rFonts w:ascii="Arial" w:eastAsia="Times New Roman" w:hAnsi="Arial" w:cs="Arial"/>
          <w:color w:val="00002E"/>
          <w:kern w:val="0"/>
          <w:sz w:val="24"/>
          <w:szCs w:val="24"/>
          <w:lang w:eastAsia="pl-PL"/>
          <w14:ligatures w14:val="none"/>
        </w:rPr>
        <w:t>, tak aby staże wspierały przejście od edukacji do zatrudnienia i zwiększały szanse stażystów na zatrudnienie.</w:t>
      </w:r>
    </w:p>
    <w:p w14:paraId="66D1273F" w14:textId="77777777" w:rsidR="0087653C" w:rsidRPr="0087653C" w:rsidRDefault="0087653C" w:rsidP="000E4A3F">
      <w:pPr>
        <w:shd w:val="clear" w:color="auto" w:fill="E6EDFF"/>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QFT podkreśla również znaczenie przejrzystości w zakresie </w:t>
      </w:r>
      <w:r w:rsidRPr="0087653C">
        <w:rPr>
          <w:rFonts w:ascii="Arial" w:eastAsia="Times New Roman" w:hAnsi="Arial" w:cs="Arial"/>
          <w:b/>
          <w:bCs/>
          <w:color w:val="00002E"/>
          <w:kern w:val="0"/>
          <w:sz w:val="24"/>
          <w:szCs w:val="24"/>
          <w:lang w:eastAsia="pl-PL"/>
          <w14:ligatures w14:val="none"/>
        </w:rPr>
        <w:t>odszkodowań, ubezpieczenia zdrowotnego i wypadkowego</w:t>
      </w:r>
      <w:r w:rsidRPr="0087653C">
        <w:rPr>
          <w:rFonts w:ascii="Arial" w:eastAsia="Times New Roman" w:hAnsi="Arial" w:cs="Arial"/>
          <w:color w:val="00002E"/>
          <w:kern w:val="0"/>
          <w:sz w:val="24"/>
          <w:szCs w:val="24"/>
          <w:lang w:eastAsia="pl-PL"/>
          <w14:ligatures w14:val="none"/>
        </w:rPr>
        <w:t>, a także </w:t>
      </w:r>
      <w:r w:rsidRPr="0087653C">
        <w:rPr>
          <w:rFonts w:ascii="Arial" w:eastAsia="Times New Roman" w:hAnsi="Arial" w:cs="Arial"/>
          <w:b/>
          <w:bCs/>
          <w:color w:val="00002E"/>
          <w:kern w:val="0"/>
          <w:sz w:val="24"/>
          <w:szCs w:val="24"/>
          <w:lang w:eastAsia="pl-PL"/>
          <w14:ligatures w14:val="none"/>
        </w:rPr>
        <w:t>polityki rekrutacyjnej podmiotów świadczących usługi stażowe</w:t>
      </w:r>
      <w:r w:rsidRPr="0087653C">
        <w:rPr>
          <w:rFonts w:ascii="Arial" w:eastAsia="Times New Roman" w:hAnsi="Arial" w:cs="Arial"/>
          <w:color w:val="00002E"/>
          <w:kern w:val="0"/>
          <w:sz w:val="24"/>
          <w:szCs w:val="24"/>
          <w:lang w:eastAsia="pl-PL"/>
          <w14:ligatures w14:val="none"/>
        </w:rPr>
        <w:t>. Aspekty te powinny być jasne dla kandydatów ubiegających się o stanowisko stażysty.</w:t>
      </w:r>
    </w:p>
    <w:p w14:paraId="00DB93A1"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lastRenderedPageBreak/>
        <w:t>W 2023 </w:t>
      </w:r>
      <w:hyperlink r:id="rId13" w:history="1">
        <w:r w:rsidRPr="0087653C">
          <w:rPr>
            <w:rFonts w:ascii="Arial" w:eastAsia="Times New Roman" w:hAnsi="Arial" w:cs="Arial"/>
            <w:color w:val="0046FF"/>
            <w:kern w:val="0"/>
            <w:sz w:val="24"/>
            <w:szCs w:val="24"/>
            <w:u w:val="single"/>
            <w:lang w:eastAsia="pl-PL"/>
            <w14:ligatures w14:val="none"/>
          </w:rPr>
          <w:t>r. Komisja dokonała oceny zalecenia w sprawie kwalifikowanego zarządzania kwalifikowanego</w:t>
        </w:r>
      </w:hyperlink>
      <w:r w:rsidRPr="0087653C">
        <w:rPr>
          <w:rFonts w:ascii="Arial" w:eastAsia="Times New Roman" w:hAnsi="Arial" w:cs="Arial"/>
          <w:color w:val="00002E"/>
          <w:kern w:val="0"/>
          <w:sz w:val="24"/>
          <w:szCs w:val="24"/>
          <w:lang w:eastAsia="pl-PL"/>
          <w14:ligatures w14:val="none"/>
        </w:rPr>
        <w:t>. W ocenie skoncentrowano się na wdrażaniu zalecenia i jego wkładzie w poprawę jakości staży w całej UE. Ocena wykazała, że:</w:t>
      </w:r>
    </w:p>
    <w:p w14:paraId="02BB2A1C" w14:textId="77777777" w:rsidR="0087653C" w:rsidRPr="0087653C" w:rsidRDefault="0087653C" w:rsidP="000E4A3F">
      <w:pPr>
        <w:numPr>
          <w:ilvl w:val="0"/>
          <w:numId w:val="2"/>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Ramy jakości staży pomogły państwom członkowskim we wdrożeniu zmian politycznych i legislacyjnych</w:t>
      </w:r>
      <w:r w:rsidRPr="0087653C">
        <w:rPr>
          <w:rFonts w:ascii="Arial" w:eastAsia="Times New Roman" w:hAnsi="Arial" w:cs="Arial"/>
          <w:color w:val="00002E"/>
          <w:kern w:val="0"/>
          <w:sz w:val="24"/>
          <w:szCs w:val="24"/>
          <w:lang w:eastAsia="pl-PL"/>
          <w14:ligatures w14:val="none"/>
        </w:rPr>
        <w:t>, w szczególności w krajach o słabiej rozwiniętych systemach staży. Jest jednak miejsce na poprawę, jeśli chodzi o zastosowanie w terenie.</w:t>
      </w:r>
    </w:p>
    <w:p w14:paraId="614B2480" w14:textId="77777777" w:rsidR="0087653C" w:rsidRPr="0087653C" w:rsidRDefault="0087653C" w:rsidP="000E4A3F">
      <w:pPr>
        <w:numPr>
          <w:ilvl w:val="0"/>
          <w:numId w:val="2"/>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Różne strony, z którymi przeprowadzono konsultacje, sugerują, że </w:t>
      </w:r>
      <w:r w:rsidRPr="0087653C">
        <w:rPr>
          <w:rFonts w:ascii="Arial" w:eastAsia="Times New Roman" w:hAnsi="Arial" w:cs="Arial"/>
          <w:b/>
          <w:bCs/>
          <w:color w:val="00002E"/>
          <w:kern w:val="0"/>
          <w:sz w:val="24"/>
          <w:szCs w:val="24"/>
          <w:lang w:eastAsia="pl-PL"/>
          <w14:ligatures w14:val="none"/>
        </w:rPr>
        <w:t>kryteria jakościowe ram mogłyby zostać wzmocnione</w:t>
      </w:r>
      <w:r w:rsidRPr="0087653C">
        <w:rPr>
          <w:rFonts w:ascii="Arial" w:eastAsia="Times New Roman" w:hAnsi="Arial" w:cs="Arial"/>
          <w:color w:val="00002E"/>
          <w:kern w:val="0"/>
          <w:sz w:val="24"/>
          <w:szCs w:val="24"/>
          <w:lang w:eastAsia="pl-PL"/>
          <w14:ligatures w14:val="none"/>
        </w:rPr>
        <w:t>, na przykład w odniesieniu do sprawiedliwego wynagrodzenia, dostępu do ochrony socjalnej, pod względem włączenia społecznego i lepszego dostosowania go do zmian na rynku pracy (np. praca zdalna).</w:t>
      </w:r>
    </w:p>
    <w:p w14:paraId="1AC42DE9" w14:textId="77777777" w:rsidR="0087653C" w:rsidRPr="0087653C" w:rsidRDefault="0087653C" w:rsidP="000E4A3F">
      <w:pPr>
        <w:numPr>
          <w:ilvl w:val="0"/>
          <w:numId w:val="2"/>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Niektóre zainteresowane strony sugerują również </w:t>
      </w:r>
      <w:r w:rsidRPr="0087653C">
        <w:rPr>
          <w:rFonts w:ascii="Arial" w:eastAsia="Times New Roman" w:hAnsi="Arial" w:cs="Arial"/>
          <w:b/>
          <w:bCs/>
          <w:color w:val="00002E"/>
          <w:kern w:val="0"/>
          <w:sz w:val="24"/>
          <w:szCs w:val="24"/>
          <w:lang w:eastAsia="pl-PL"/>
          <w14:ligatures w14:val="none"/>
        </w:rPr>
        <w:t>zapewnienie stażystom lepszego wsparcia, </w:t>
      </w:r>
      <w:r w:rsidRPr="0087653C">
        <w:rPr>
          <w:rFonts w:ascii="Arial" w:eastAsia="Times New Roman" w:hAnsi="Arial" w:cs="Arial"/>
          <w:color w:val="00002E"/>
          <w:kern w:val="0"/>
          <w:sz w:val="24"/>
          <w:szCs w:val="24"/>
          <w:lang w:eastAsia="pl-PL"/>
          <w14:ligatures w14:val="none"/>
        </w:rPr>
        <w:t>na przykład poprzez mentoring.</w:t>
      </w:r>
    </w:p>
    <w:p w14:paraId="732201FB" w14:textId="77777777" w:rsidR="0087653C" w:rsidRPr="0087653C" w:rsidRDefault="0087653C" w:rsidP="000E4A3F">
      <w:pPr>
        <w:numPr>
          <w:ilvl w:val="0"/>
          <w:numId w:val="2"/>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Chociaż wydaje się, że coraz więcej młodych ludzi podejmuje </w:t>
      </w:r>
      <w:r w:rsidRPr="0087653C">
        <w:rPr>
          <w:rFonts w:ascii="Arial" w:eastAsia="Times New Roman" w:hAnsi="Arial" w:cs="Arial"/>
          <w:b/>
          <w:bCs/>
          <w:color w:val="00002E"/>
          <w:kern w:val="0"/>
          <w:sz w:val="24"/>
          <w:szCs w:val="24"/>
          <w:lang w:eastAsia="pl-PL"/>
          <w14:ligatures w14:val="none"/>
        </w:rPr>
        <w:t>praktyki zawodowe w innych krajach UE,</w:t>
      </w:r>
      <w:r w:rsidRPr="0087653C">
        <w:rPr>
          <w:rFonts w:ascii="Arial" w:eastAsia="Times New Roman" w:hAnsi="Arial" w:cs="Arial"/>
          <w:color w:val="00002E"/>
          <w:kern w:val="0"/>
          <w:sz w:val="24"/>
          <w:szCs w:val="24"/>
          <w:lang w:eastAsia="pl-PL"/>
          <w14:ligatures w14:val="none"/>
        </w:rPr>
        <w:t> koszty utrzymania za granicą i brak odpowiednich informacji uznano za wyzwania dla transgranicznego korzystania ze staży.</w:t>
      </w:r>
    </w:p>
    <w:p w14:paraId="7AB2FF2E"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Więcej informacji na ten temat można znaleźć w sprawozdaniu Komisji z </w:t>
      </w:r>
      <w:hyperlink r:id="rId14" w:history="1">
        <w:r w:rsidRPr="0087653C">
          <w:rPr>
            <w:rFonts w:ascii="Arial" w:eastAsia="Times New Roman" w:hAnsi="Arial" w:cs="Arial"/>
            <w:color w:val="0046FF"/>
            <w:kern w:val="0"/>
            <w:sz w:val="24"/>
            <w:szCs w:val="24"/>
            <w:u w:val="single"/>
            <w:lang w:eastAsia="pl-PL"/>
            <w14:ligatures w14:val="none"/>
          </w:rPr>
          <w:t>oceny</w:t>
        </w:r>
      </w:hyperlink>
      <w:r w:rsidRPr="0087653C">
        <w:rPr>
          <w:rFonts w:ascii="Arial" w:eastAsia="Times New Roman" w:hAnsi="Arial" w:cs="Arial"/>
          <w:color w:val="00002E"/>
          <w:kern w:val="0"/>
          <w:sz w:val="24"/>
          <w:szCs w:val="24"/>
          <w:lang w:eastAsia="pl-PL"/>
          <w14:ligatures w14:val="none"/>
        </w:rPr>
        <w:t>, a także w </w:t>
      </w:r>
      <w:hyperlink r:id="rId15" w:history="1">
        <w:r w:rsidRPr="0087653C">
          <w:rPr>
            <w:rFonts w:ascii="Arial" w:eastAsia="Times New Roman" w:hAnsi="Arial" w:cs="Arial"/>
            <w:color w:val="0046FF"/>
            <w:kern w:val="0"/>
            <w:sz w:val="24"/>
            <w:szCs w:val="24"/>
            <w:u w:val="single"/>
            <w:lang w:eastAsia="pl-PL"/>
            <w14:ligatures w14:val="none"/>
          </w:rPr>
          <w:t>badaniu wspierającym ocenę QFT</w:t>
        </w:r>
      </w:hyperlink>
      <w:r w:rsidRPr="0087653C">
        <w:rPr>
          <w:rFonts w:ascii="Arial" w:eastAsia="Times New Roman" w:hAnsi="Arial" w:cs="Arial"/>
          <w:color w:val="00002E"/>
          <w:kern w:val="0"/>
          <w:sz w:val="24"/>
          <w:szCs w:val="24"/>
          <w:lang w:eastAsia="pl-PL"/>
          <w14:ligatures w14:val="none"/>
        </w:rPr>
        <w:t>.</w:t>
      </w:r>
    </w:p>
    <w:p w14:paraId="3FF4716F"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Więcej informacji na temat wdrażania ram jakości staży:</w:t>
      </w:r>
    </w:p>
    <w:p w14:paraId="1FB0948E" w14:textId="77777777" w:rsidR="0087653C" w:rsidRPr="0087653C" w:rsidRDefault="0087653C" w:rsidP="000E4A3F">
      <w:pPr>
        <w:numPr>
          <w:ilvl w:val="0"/>
          <w:numId w:val="3"/>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Komunikat z 2016 r. </w:t>
      </w:r>
      <w:hyperlink r:id="rId16" w:history="1">
        <w:r w:rsidRPr="0087653C">
          <w:rPr>
            <w:rFonts w:ascii="Arial" w:eastAsia="Times New Roman" w:hAnsi="Arial" w:cs="Arial"/>
            <w:color w:val="0046FF"/>
            <w:kern w:val="0"/>
            <w:sz w:val="24"/>
            <w:szCs w:val="24"/>
            <w:u w:val="single"/>
            <w:lang w:eastAsia="pl-PL"/>
            <w14:ligatures w14:val="none"/>
          </w:rPr>
          <w:t>"Gwarancja dla młodzieży i Inicjatywa na rzecz zatrudnienia ludzi młodych – trzy lata później"</w:t>
        </w:r>
      </w:hyperlink>
    </w:p>
    <w:p w14:paraId="543FCE45" w14:textId="77777777" w:rsidR="0087653C" w:rsidRPr="0087653C" w:rsidRDefault="000E6959" w:rsidP="000E4A3F">
      <w:pPr>
        <w:numPr>
          <w:ilvl w:val="0"/>
          <w:numId w:val="3"/>
        </w:numPr>
        <w:spacing w:before="120" w:after="120" w:line="240" w:lineRule="auto"/>
        <w:rPr>
          <w:rFonts w:ascii="Arial" w:eastAsia="Times New Roman" w:hAnsi="Arial" w:cs="Arial"/>
          <w:color w:val="00002E"/>
          <w:kern w:val="0"/>
          <w:sz w:val="24"/>
          <w:szCs w:val="24"/>
          <w:lang w:eastAsia="pl-PL"/>
          <w14:ligatures w14:val="none"/>
        </w:rPr>
      </w:pPr>
      <w:hyperlink r:id="rId17" w:history="1">
        <w:r w:rsidR="0087653C" w:rsidRPr="0087653C">
          <w:rPr>
            <w:rFonts w:ascii="Arial" w:eastAsia="Times New Roman" w:hAnsi="Arial" w:cs="Arial"/>
            <w:color w:val="0046FF"/>
            <w:kern w:val="0"/>
            <w:sz w:val="24"/>
            <w:szCs w:val="24"/>
            <w:u w:val="single"/>
            <w:lang w:eastAsia="pl-PL"/>
            <w14:ligatures w14:val="none"/>
          </w:rPr>
          <w:t>Dokument roboczy służb Komisji z 2016 r. w sprawie stosowania ram jakości staży</w:t>
        </w:r>
      </w:hyperlink>
    </w:p>
    <w:p w14:paraId="2ED9203C" w14:textId="77777777" w:rsidR="0087653C" w:rsidRPr="0087653C" w:rsidRDefault="000E6959" w:rsidP="000E4A3F">
      <w:pPr>
        <w:numPr>
          <w:ilvl w:val="0"/>
          <w:numId w:val="3"/>
        </w:numPr>
        <w:spacing w:before="120" w:after="120" w:line="240" w:lineRule="auto"/>
        <w:rPr>
          <w:rFonts w:ascii="Arial" w:eastAsia="Times New Roman" w:hAnsi="Arial" w:cs="Arial"/>
          <w:color w:val="00002E"/>
          <w:kern w:val="0"/>
          <w:sz w:val="24"/>
          <w:szCs w:val="24"/>
          <w:lang w:eastAsia="pl-PL"/>
          <w14:ligatures w14:val="none"/>
        </w:rPr>
      </w:pPr>
      <w:hyperlink r:id="rId18" w:history="1">
        <w:r w:rsidR="0087653C" w:rsidRPr="0087653C">
          <w:rPr>
            <w:rFonts w:ascii="Arial" w:eastAsia="Times New Roman" w:hAnsi="Arial" w:cs="Arial"/>
            <w:color w:val="0046FF"/>
            <w:kern w:val="0"/>
            <w:sz w:val="24"/>
            <w:szCs w:val="24"/>
            <w:u w:val="single"/>
            <w:lang w:eastAsia="pl-PL"/>
            <w14:ligatures w14:val="none"/>
          </w:rPr>
          <w:t>wnioski z seminarium z 2019 r.: Tworzenie warunków dla wysokiej jakości staży</w:t>
        </w:r>
      </w:hyperlink>
    </w:p>
    <w:p w14:paraId="5AB6583D" w14:textId="77777777" w:rsidR="0087653C" w:rsidRPr="0087653C" w:rsidRDefault="0087653C" w:rsidP="000E4A3F">
      <w:pPr>
        <w:numPr>
          <w:ilvl w:val="0"/>
          <w:numId w:val="3"/>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wnioski z </w:t>
      </w:r>
      <w:hyperlink r:id="rId19" w:history="1">
        <w:r w:rsidRPr="0087653C">
          <w:rPr>
            <w:rFonts w:ascii="Arial" w:eastAsia="Times New Roman" w:hAnsi="Arial" w:cs="Arial"/>
            <w:color w:val="0046FF"/>
            <w:kern w:val="0"/>
            <w:sz w:val="24"/>
            <w:szCs w:val="24"/>
            <w:u w:val="single"/>
            <w:lang w:eastAsia="pl-PL"/>
            <w14:ligatures w14:val="none"/>
          </w:rPr>
          <w:t>konferencji "Jakość staży w UE" z 2017</w:t>
        </w:r>
      </w:hyperlink>
      <w:r w:rsidRPr="0087653C">
        <w:rPr>
          <w:rFonts w:ascii="Arial" w:eastAsia="Times New Roman" w:hAnsi="Arial" w:cs="Arial"/>
          <w:color w:val="00002E"/>
          <w:kern w:val="0"/>
          <w:sz w:val="24"/>
          <w:szCs w:val="24"/>
          <w:lang w:eastAsia="pl-PL"/>
          <w14:ligatures w14:val="none"/>
        </w:rPr>
        <w:t> r.</w:t>
      </w:r>
    </w:p>
    <w:p w14:paraId="20641014"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Dlaczego Unia Europejska podejmuje działania w sprawie staży?</w:t>
      </w:r>
    </w:p>
    <w:p w14:paraId="39C982AB"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Dowody wskazują, że praktyki zawodowe są przydatne zarówno dla młodych ludzi, jak i dla przedsiębiorstw, pod warunkiem że są dobrej jakości.</w:t>
      </w:r>
    </w:p>
    <w:p w14:paraId="02A6A4D4"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Ponadto praktyki zawodowe są ważnym krokiem dla młodych ludzi na rynek pracy. </w:t>
      </w:r>
      <w:hyperlink r:id="rId20" w:history="1">
        <w:r w:rsidRPr="0087653C">
          <w:rPr>
            <w:rFonts w:ascii="Arial" w:eastAsia="Times New Roman" w:hAnsi="Arial" w:cs="Arial"/>
            <w:color w:val="0046FF"/>
            <w:kern w:val="0"/>
            <w:sz w:val="24"/>
            <w:szCs w:val="24"/>
            <w:u w:val="single"/>
            <w:lang w:eastAsia="pl-PL"/>
            <w14:ligatures w14:val="none"/>
          </w:rPr>
          <w:t>Potwierdziło to badanie Eurobarometru Flash z 2023</w:t>
        </w:r>
      </w:hyperlink>
      <w:r w:rsidRPr="0087653C">
        <w:rPr>
          <w:rFonts w:ascii="Arial" w:eastAsia="Times New Roman" w:hAnsi="Arial" w:cs="Arial"/>
          <w:color w:val="00002E"/>
          <w:kern w:val="0"/>
          <w:sz w:val="24"/>
          <w:szCs w:val="24"/>
          <w:lang w:eastAsia="pl-PL"/>
          <w14:ligatures w14:val="none"/>
        </w:rPr>
        <w:t> r.:</w:t>
      </w:r>
    </w:p>
    <w:p w14:paraId="4E0E102A" w14:textId="77777777" w:rsidR="0087653C" w:rsidRPr="0087653C" w:rsidRDefault="0087653C" w:rsidP="000E4A3F">
      <w:pPr>
        <w:numPr>
          <w:ilvl w:val="0"/>
          <w:numId w:val="4"/>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Czterech na pięciu badanych młodych ludzi (78%) odbyło co najmniej jeden staż, a dla co piątego (19%) ich pierwszym doświadczeniem zawodowym był staż</w:t>
      </w:r>
    </w:p>
    <w:p w14:paraId="0C8EE91D" w14:textId="77777777" w:rsidR="0087653C" w:rsidRPr="0087653C" w:rsidRDefault="0087653C" w:rsidP="000E4A3F">
      <w:pPr>
        <w:numPr>
          <w:ilvl w:val="0"/>
          <w:numId w:val="4"/>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Siedem na dziesięć osób (68%) znalazło pracę po odbyciu stażu, a ponad połowa z nich (39%) podpisała umowę z tym samym pracodawcą</w:t>
      </w:r>
    </w:p>
    <w:p w14:paraId="6191BD73" w14:textId="77777777" w:rsidR="0087653C" w:rsidRPr="0087653C" w:rsidRDefault="0087653C" w:rsidP="000E4A3F">
      <w:pPr>
        <w:numPr>
          <w:ilvl w:val="0"/>
          <w:numId w:val="4"/>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Zdecydowana większość respondentów (76%) zgodziła się, że podczas stażu nauczyli się rzeczy, które są przydatne zawodowo</w:t>
      </w:r>
    </w:p>
    <w:p w14:paraId="2F1DBC4C"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Porównując te wyniki z wynikami </w:t>
      </w:r>
      <w:hyperlink r:id="rId21" w:history="1">
        <w:r w:rsidRPr="0087653C">
          <w:rPr>
            <w:rFonts w:ascii="Arial" w:eastAsia="Times New Roman" w:hAnsi="Arial" w:cs="Arial"/>
            <w:color w:val="0046FF"/>
            <w:kern w:val="0"/>
            <w:sz w:val="24"/>
            <w:szCs w:val="24"/>
            <w:u w:val="single"/>
            <w:lang w:eastAsia="pl-PL"/>
            <w14:ligatures w14:val="none"/>
          </w:rPr>
          <w:t>badania Eurobarometru z 2013</w:t>
        </w:r>
      </w:hyperlink>
      <w:r w:rsidRPr="0087653C">
        <w:rPr>
          <w:rFonts w:ascii="Arial" w:eastAsia="Times New Roman" w:hAnsi="Arial" w:cs="Arial"/>
          <w:color w:val="00002E"/>
          <w:kern w:val="0"/>
          <w:sz w:val="24"/>
          <w:szCs w:val="24"/>
          <w:lang w:eastAsia="pl-PL"/>
          <w14:ligatures w14:val="none"/>
        </w:rPr>
        <w:t> r</w:t>
      </w:r>
      <w:r w:rsidRPr="0087653C">
        <w:rPr>
          <w:rFonts w:ascii="Arial" w:eastAsia="Times New Roman" w:hAnsi="Arial" w:cs="Arial"/>
          <w:color w:val="00002E"/>
          <w:kern w:val="0"/>
          <w:sz w:val="24"/>
          <w:szCs w:val="24"/>
          <w:u w:val="single"/>
          <w:lang w:eastAsia="pl-PL"/>
          <w14:ligatures w14:val="none"/>
        </w:rPr>
        <w:t>., można zauważyć, że</w:t>
      </w:r>
      <w:r w:rsidRPr="0087653C">
        <w:rPr>
          <w:rFonts w:ascii="Arial" w:eastAsia="Times New Roman" w:hAnsi="Arial" w:cs="Arial"/>
          <w:color w:val="00002E"/>
          <w:kern w:val="0"/>
          <w:sz w:val="24"/>
          <w:szCs w:val="24"/>
          <w:lang w:eastAsia="pl-PL"/>
          <w14:ligatures w14:val="none"/>
        </w:rPr>
        <w:t xml:space="preserve"> w ciągu ostatnich dziesięciu lat sytuacja stażystów ogólnie się </w:t>
      </w:r>
      <w:r w:rsidRPr="0087653C">
        <w:rPr>
          <w:rFonts w:ascii="Arial" w:eastAsia="Times New Roman" w:hAnsi="Arial" w:cs="Arial"/>
          <w:color w:val="00002E"/>
          <w:kern w:val="0"/>
          <w:sz w:val="24"/>
          <w:szCs w:val="24"/>
          <w:lang w:eastAsia="pl-PL"/>
          <w14:ligatures w14:val="none"/>
        </w:rPr>
        <w:lastRenderedPageBreak/>
        <w:t>poprawiła. Nadal jednak istnieje potrzeba dalszej poprawy jakości staży, tak aby były one jeszcze bardziej wartościowe zarówno dla stażystów, jak i dla pracodawców.</w:t>
      </w:r>
    </w:p>
    <w:p w14:paraId="22CD6915"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Więcej informacji na temat staży</w:t>
      </w:r>
    </w:p>
    <w:p w14:paraId="3D450A52" w14:textId="77777777" w:rsidR="0087653C" w:rsidRPr="0087653C" w:rsidRDefault="000E6959" w:rsidP="000E4A3F">
      <w:pPr>
        <w:numPr>
          <w:ilvl w:val="0"/>
          <w:numId w:val="5"/>
        </w:numPr>
        <w:spacing w:before="120" w:after="120" w:line="240" w:lineRule="auto"/>
        <w:rPr>
          <w:rFonts w:ascii="Arial" w:eastAsia="Times New Roman" w:hAnsi="Arial" w:cs="Arial"/>
          <w:color w:val="00002E"/>
          <w:kern w:val="0"/>
          <w:sz w:val="24"/>
          <w:szCs w:val="24"/>
          <w:lang w:eastAsia="pl-PL"/>
          <w14:ligatures w14:val="none"/>
        </w:rPr>
      </w:pPr>
      <w:hyperlink r:id="rId22" w:history="1">
        <w:r w:rsidR="0087653C" w:rsidRPr="0087653C">
          <w:rPr>
            <w:rFonts w:ascii="Arial" w:eastAsia="Times New Roman" w:hAnsi="Arial" w:cs="Arial"/>
            <w:color w:val="0046FF"/>
            <w:kern w:val="0"/>
            <w:sz w:val="24"/>
            <w:szCs w:val="24"/>
            <w:u w:val="single"/>
            <w:lang w:eastAsia="pl-PL"/>
            <w14:ligatures w14:val="none"/>
          </w:rPr>
          <w:t>Badanie zawierające przegląd praktyk w zakresie wynagradzania</w:t>
        </w:r>
      </w:hyperlink>
      <w:r w:rsidR="0087653C" w:rsidRPr="0087653C">
        <w:rPr>
          <w:rFonts w:ascii="Arial" w:eastAsia="Times New Roman" w:hAnsi="Arial" w:cs="Arial"/>
          <w:color w:val="00002E"/>
          <w:kern w:val="0"/>
          <w:sz w:val="24"/>
          <w:szCs w:val="24"/>
          <w:lang w:eastAsia="pl-PL"/>
          <w14:ligatures w14:val="none"/>
        </w:rPr>
        <w:t> w odniesieniu do tzw. staży na otwartym rynku w państwach członkowskich UE (2021 r.)</w:t>
      </w:r>
    </w:p>
    <w:p w14:paraId="1CA9AE67" w14:textId="77777777" w:rsidR="0087653C" w:rsidRPr="0087653C" w:rsidRDefault="000E6959" w:rsidP="000E4A3F">
      <w:pPr>
        <w:numPr>
          <w:ilvl w:val="0"/>
          <w:numId w:val="5"/>
        </w:numPr>
        <w:spacing w:before="120" w:after="120" w:line="240" w:lineRule="auto"/>
        <w:rPr>
          <w:rFonts w:ascii="Arial" w:eastAsia="Times New Roman" w:hAnsi="Arial" w:cs="Arial"/>
          <w:color w:val="00002E"/>
          <w:kern w:val="0"/>
          <w:sz w:val="24"/>
          <w:szCs w:val="24"/>
          <w:lang w:eastAsia="pl-PL"/>
          <w14:ligatures w14:val="none"/>
        </w:rPr>
      </w:pPr>
      <w:hyperlink r:id="rId23" w:history="1">
        <w:r w:rsidR="0087653C" w:rsidRPr="0087653C">
          <w:rPr>
            <w:rFonts w:ascii="Arial" w:eastAsia="Times New Roman" w:hAnsi="Arial" w:cs="Arial"/>
            <w:color w:val="0046FF"/>
            <w:kern w:val="0"/>
            <w:sz w:val="24"/>
            <w:szCs w:val="24"/>
            <w:u w:val="single"/>
            <w:lang w:eastAsia="pl-PL"/>
            <w14:ligatures w14:val="none"/>
          </w:rPr>
          <w:t xml:space="preserve">Sprawozdanie </w:t>
        </w:r>
        <w:proofErr w:type="spellStart"/>
        <w:r w:rsidR="0087653C" w:rsidRPr="0087653C">
          <w:rPr>
            <w:rFonts w:ascii="Arial" w:eastAsia="Times New Roman" w:hAnsi="Arial" w:cs="Arial"/>
            <w:color w:val="0046FF"/>
            <w:kern w:val="0"/>
            <w:sz w:val="24"/>
            <w:szCs w:val="24"/>
            <w:u w:val="single"/>
            <w:lang w:eastAsia="pl-PL"/>
            <w14:ligatures w14:val="none"/>
          </w:rPr>
          <w:t>Eurofoundu</w:t>
        </w:r>
        <w:proofErr w:type="spellEnd"/>
        <w:r w:rsidR="0087653C" w:rsidRPr="0087653C">
          <w:rPr>
            <w:rFonts w:ascii="Arial" w:eastAsia="Times New Roman" w:hAnsi="Arial" w:cs="Arial"/>
            <w:color w:val="0046FF"/>
            <w:kern w:val="0"/>
            <w:sz w:val="24"/>
            <w:szCs w:val="24"/>
            <w:u w:val="single"/>
            <w:lang w:eastAsia="pl-PL"/>
            <w14:ligatures w14:val="none"/>
          </w:rPr>
          <w:t xml:space="preserve"> w sprawie nadużywania statusu stażysty</w:t>
        </w:r>
      </w:hyperlink>
      <w:r w:rsidR="0087653C" w:rsidRPr="0087653C">
        <w:rPr>
          <w:rFonts w:ascii="Arial" w:eastAsia="Times New Roman" w:hAnsi="Arial" w:cs="Arial"/>
          <w:color w:val="00002E"/>
          <w:kern w:val="0"/>
          <w:sz w:val="24"/>
          <w:szCs w:val="24"/>
          <w:lang w:eastAsia="pl-PL"/>
          <w14:ligatures w14:val="none"/>
        </w:rPr>
        <w:t> (2017 r.)</w:t>
      </w:r>
    </w:p>
    <w:p w14:paraId="34946B41"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Staże w ramach gwarancji dla młodzieży</w:t>
      </w:r>
    </w:p>
    <w:p w14:paraId="3CE35B2E"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Staże są powszechnie stosowane w ramach </w:t>
      </w:r>
      <w:hyperlink r:id="rId24" w:history="1">
        <w:r w:rsidRPr="0087653C">
          <w:rPr>
            <w:rFonts w:ascii="Arial" w:eastAsia="Times New Roman" w:hAnsi="Arial" w:cs="Arial"/>
            <w:color w:val="0046FF"/>
            <w:kern w:val="0"/>
            <w:sz w:val="24"/>
            <w:szCs w:val="24"/>
            <w:u w:val="single"/>
            <w:lang w:eastAsia="pl-PL"/>
            <w14:ligatures w14:val="none"/>
          </w:rPr>
          <w:t>wzmocnionej gwarancji dla młodzieży</w:t>
        </w:r>
      </w:hyperlink>
      <w:r w:rsidRPr="0087653C">
        <w:rPr>
          <w:rFonts w:ascii="Arial" w:eastAsia="Times New Roman" w:hAnsi="Arial" w:cs="Arial"/>
          <w:color w:val="00002E"/>
          <w:kern w:val="0"/>
          <w:sz w:val="24"/>
          <w:szCs w:val="24"/>
          <w:lang w:eastAsia="pl-PL"/>
          <w14:ligatures w14:val="none"/>
        </w:rPr>
        <w:t>, w ramach której osoby w wieku od 15 do 29 lat otrzymują ofertę zatrudnienia, kształcenia ustawicznego, przygotowania zawodowego lub stażu w ciągu czterech miesięcy od utraty pracy lub zakończenia nauki. Oferty staży w ramach gwarancji dla młodzieży powinny opierać się na ramach jakości staży jako punkcie odniesienia.</w:t>
      </w:r>
    </w:p>
    <w:p w14:paraId="792DC0E2"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 sprawozdaniu </w:t>
      </w:r>
      <w:hyperlink r:id="rId25" w:history="1">
        <w:r w:rsidRPr="0087653C">
          <w:rPr>
            <w:rFonts w:ascii="Arial" w:eastAsia="Times New Roman" w:hAnsi="Arial" w:cs="Arial"/>
            <w:color w:val="0046FF"/>
            <w:kern w:val="0"/>
            <w:sz w:val="24"/>
            <w:szCs w:val="24"/>
            <w:u w:val="single"/>
            <w:lang w:eastAsia="pl-PL"/>
            <w14:ligatures w14:val="none"/>
          </w:rPr>
          <w:t>pt. "Staże w ramach gwarancji dla młodzieży – doświadczenia zdobyte w terenie</w:t>
        </w:r>
      </w:hyperlink>
      <w:r w:rsidRPr="0087653C">
        <w:rPr>
          <w:rFonts w:ascii="Arial" w:eastAsia="Times New Roman" w:hAnsi="Arial" w:cs="Arial"/>
          <w:color w:val="00002E"/>
          <w:kern w:val="0"/>
          <w:sz w:val="24"/>
          <w:szCs w:val="24"/>
          <w:lang w:eastAsia="pl-PL"/>
          <w14:ligatures w14:val="none"/>
        </w:rPr>
        <w:t>" przeanalizowano, w jaki sposób praktyki zawodowe mogą być skutecznymi doświadczeniami edukacyjnymi dla młodych ludzi, wspierając ich w zdobywaniu umiejętności niezbędnych na rynku pracy. W sprawozdaniu przedstawiono również różne środki, które przyczyniają się do poprawy jakości staży i zapobiegania ich nadużyciom.</w:t>
      </w:r>
    </w:p>
    <w:p w14:paraId="6B4DA1C0"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Szukasz stażu?</w:t>
      </w:r>
    </w:p>
    <w:p w14:paraId="1C432223" w14:textId="77777777" w:rsidR="0087653C" w:rsidRPr="0087653C" w:rsidRDefault="0087653C" w:rsidP="000E4A3F">
      <w:pPr>
        <w:spacing w:before="120" w:after="120" w:line="240" w:lineRule="auto"/>
        <w:outlineLvl w:val="2"/>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 Europie</w:t>
      </w:r>
    </w:p>
    <w:p w14:paraId="56815508" w14:textId="77777777" w:rsidR="0087653C" w:rsidRPr="0087653C" w:rsidRDefault="000E6959" w:rsidP="000E4A3F">
      <w:pPr>
        <w:numPr>
          <w:ilvl w:val="0"/>
          <w:numId w:val="6"/>
        </w:numPr>
        <w:spacing w:before="120" w:after="120" w:line="240" w:lineRule="auto"/>
        <w:rPr>
          <w:rFonts w:ascii="Arial" w:eastAsia="Times New Roman" w:hAnsi="Arial" w:cs="Arial"/>
          <w:color w:val="00002E"/>
          <w:kern w:val="0"/>
          <w:sz w:val="24"/>
          <w:szCs w:val="24"/>
          <w:lang w:eastAsia="pl-PL"/>
          <w14:ligatures w14:val="none"/>
        </w:rPr>
      </w:pPr>
      <w:hyperlink r:id="rId26" w:history="1">
        <w:r w:rsidR="0087653C" w:rsidRPr="0087653C">
          <w:rPr>
            <w:rFonts w:ascii="Arial" w:eastAsia="Times New Roman" w:hAnsi="Arial" w:cs="Arial"/>
            <w:color w:val="0046FF"/>
            <w:kern w:val="0"/>
            <w:sz w:val="24"/>
            <w:szCs w:val="24"/>
            <w:u w:val="single"/>
            <w:lang w:eastAsia="pl-PL"/>
            <w14:ligatures w14:val="none"/>
          </w:rPr>
          <w:t>Portal EURES</w:t>
        </w:r>
      </w:hyperlink>
      <w:r w:rsidR="0087653C" w:rsidRPr="0087653C">
        <w:rPr>
          <w:rFonts w:ascii="Arial" w:eastAsia="Times New Roman" w:hAnsi="Arial" w:cs="Arial"/>
          <w:color w:val="00002E"/>
          <w:kern w:val="0"/>
          <w:sz w:val="24"/>
          <w:szCs w:val="24"/>
          <w:lang w:eastAsia="pl-PL"/>
          <w14:ligatures w14:val="none"/>
        </w:rPr>
        <w:t> zawiera wykaz staży dla młodych ludzi w krajach UE, Islandii, Liechtensteinie, Norwegii i Szwajcarii. Więcej informacji na temat staży za granicą, takich jak zasady i przepisy oraz informacje o tym, jak przenieść się do innego kraju, można znaleźć w sekcji </w:t>
      </w:r>
      <w:hyperlink r:id="rId27" w:history="1">
        <w:r w:rsidR="0087653C" w:rsidRPr="0087653C">
          <w:rPr>
            <w:rFonts w:ascii="Arial" w:eastAsia="Times New Roman" w:hAnsi="Arial" w:cs="Arial"/>
            <w:color w:val="0046FF"/>
            <w:kern w:val="0"/>
            <w:sz w:val="24"/>
            <w:szCs w:val="24"/>
            <w:u w:val="single"/>
            <w:lang w:eastAsia="pl-PL"/>
            <w14:ligatures w14:val="none"/>
          </w:rPr>
          <w:t>Warunki życia i pracy</w:t>
        </w:r>
      </w:hyperlink>
      <w:r w:rsidR="0087653C" w:rsidRPr="0087653C">
        <w:rPr>
          <w:rFonts w:ascii="Arial" w:eastAsia="Times New Roman" w:hAnsi="Arial" w:cs="Arial"/>
          <w:color w:val="00002E"/>
          <w:kern w:val="0"/>
          <w:sz w:val="24"/>
          <w:szCs w:val="24"/>
          <w:lang w:eastAsia="pl-PL"/>
          <w14:ligatures w14:val="none"/>
        </w:rPr>
        <w:t>.</w:t>
      </w:r>
      <w:r w:rsidR="0087653C" w:rsidRPr="0087653C">
        <w:rPr>
          <w:rFonts w:ascii="Arial" w:eastAsia="Times New Roman" w:hAnsi="Arial" w:cs="Arial"/>
          <w:color w:val="00002E"/>
          <w:kern w:val="0"/>
          <w:sz w:val="24"/>
          <w:szCs w:val="24"/>
          <w:lang w:eastAsia="pl-PL"/>
          <w14:ligatures w14:val="none"/>
        </w:rPr>
        <w:br/>
        <w:t> </w:t>
      </w:r>
    </w:p>
    <w:p w14:paraId="3AA7F636" w14:textId="77777777" w:rsidR="0087653C" w:rsidRPr="0087653C" w:rsidRDefault="000E6959" w:rsidP="000E4A3F">
      <w:pPr>
        <w:numPr>
          <w:ilvl w:val="0"/>
          <w:numId w:val="6"/>
        </w:numPr>
        <w:spacing w:before="120" w:after="120" w:line="240" w:lineRule="auto"/>
        <w:rPr>
          <w:rFonts w:ascii="Arial" w:eastAsia="Times New Roman" w:hAnsi="Arial" w:cs="Arial"/>
          <w:color w:val="00002E"/>
          <w:kern w:val="0"/>
          <w:sz w:val="24"/>
          <w:szCs w:val="24"/>
          <w:lang w:eastAsia="pl-PL"/>
          <w14:ligatures w14:val="none"/>
        </w:rPr>
      </w:pPr>
      <w:hyperlink r:id="rId28" w:history="1">
        <w:r w:rsidR="0087653C" w:rsidRPr="0087653C">
          <w:rPr>
            <w:rFonts w:ascii="Arial" w:eastAsia="Times New Roman" w:hAnsi="Arial" w:cs="Arial"/>
            <w:color w:val="0046FF"/>
            <w:kern w:val="0"/>
            <w:sz w:val="24"/>
            <w:szCs w:val="24"/>
            <w:u w:val="single"/>
            <w:lang w:eastAsia="pl-PL"/>
            <w14:ligatures w14:val="none"/>
          </w:rPr>
          <w:t>Erasmus+</w:t>
        </w:r>
      </w:hyperlink>
      <w:r w:rsidR="0087653C" w:rsidRPr="0087653C">
        <w:rPr>
          <w:rFonts w:ascii="Arial" w:eastAsia="Times New Roman" w:hAnsi="Arial" w:cs="Arial"/>
          <w:color w:val="00002E"/>
          <w:kern w:val="0"/>
          <w:sz w:val="24"/>
          <w:szCs w:val="24"/>
          <w:lang w:eastAsia="pl-PL"/>
          <w14:ligatures w14:val="none"/>
        </w:rPr>
        <w:t> wspiera praktyki za granicą dla studentów podejmujących studia wyższe, a także dla niedawnych absolwentów. W latach 2014–2024 około 890 000 młodych ludzi wzięło udział w stażach zagranicznych finansowanych w ramach programu Erasmus+.</w:t>
      </w:r>
      <w:r w:rsidR="0087653C" w:rsidRPr="0087653C">
        <w:rPr>
          <w:rFonts w:ascii="Arial" w:eastAsia="Times New Roman" w:hAnsi="Arial" w:cs="Arial"/>
          <w:color w:val="00002E"/>
          <w:kern w:val="0"/>
          <w:sz w:val="24"/>
          <w:szCs w:val="24"/>
          <w:lang w:eastAsia="pl-PL"/>
          <w14:ligatures w14:val="none"/>
        </w:rPr>
        <w:br/>
        <w:t> </w:t>
      </w:r>
    </w:p>
    <w:p w14:paraId="589D5B72" w14:textId="77777777" w:rsidR="0087653C" w:rsidRPr="0087653C" w:rsidRDefault="000E6959" w:rsidP="000E4A3F">
      <w:pPr>
        <w:numPr>
          <w:ilvl w:val="0"/>
          <w:numId w:val="6"/>
        </w:numPr>
        <w:spacing w:before="120" w:after="120" w:line="240" w:lineRule="auto"/>
        <w:rPr>
          <w:rFonts w:ascii="Arial" w:eastAsia="Times New Roman" w:hAnsi="Arial" w:cs="Arial"/>
          <w:color w:val="00002E"/>
          <w:kern w:val="0"/>
          <w:sz w:val="24"/>
          <w:szCs w:val="24"/>
          <w:lang w:eastAsia="pl-PL"/>
          <w14:ligatures w14:val="none"/>
        </w:rPr>
      </w:pPr>
      <w:hyperlink r:id="rId29" w:history="1">
        <w:r w:rsidR="0087653C" w:rsidRPr="0087653C">
          <w:rPr>
            <w:rFonts w:ascii="Arial" w:eastAsia="Times New Roman" w:hAnsi="Arial" w:cs="Arial"/>
            <w:color w:val="0046FF"/>
            <w:kern w:val="0"/>
            <w:sz w:val="24"/>
            <w:szCs w:val="24"/>
            <w:u w:val="single"/>
            <w:lang w:eastAsia="pl-PL"/>
            <w14:ligatures w14:val="none"/>
          </w:rPr>
          <w:t xml:space="preserve">Staże Digital </w:t>
        </w:r>
        <w:proofErr w:type="spellStart"/>
        <w:r w:rsidR="0087653C" w:rsidRPr="0087653C">
          <w:rPr>
            <w:rFonts w:ascii="Arial" w:eastAsia="Times New Roman" w:hAnsi="Arial" w:cs="Arial"/>
            <w:color w:val="0046FF"/>
            <w:kern w:val="0"/>
            <w:sz w:val="24"/>
            <w:szCs w:val="24"/>
            <w:u w:val="single"/>
            <w:lang w:eastAsia="pl-PL"/>
            <w14:ligatures w14:val="none"/>
          </w:rPr>
          <w:t>Opportunity</w:t>
        </w:r>
        <w:proofErr w:type="spellEnd"/>
        <w:r w:rsidR="0087653C" w:rsidRPr="0087653C">
          <w:rPr>
            <w:rFonts w:ascii="Arial" w:eastAsia="Times New Roman" w:hAnsi="Arial" w:cs="Arial"/>
            <w:color w:val="0046FF"/>
            <w:kern w:val="0"/>
            <w:sz w:val="24"/>
            <w:szCs w:val="24"/>
            <w:u w:val="single"/>
            <w:lang w:eastAsia="pl-PL"/>
            <w14:ligatures w14:val="none"/>
          </w:rPr>
          <w:t xml:space="preserve"> są</w:t>
        </w:r>
      </w:hyperlink>
      <w:r w:rsidR="0087653C" w:rsidRPr="0087653C">
        <w:rPr>
          <w:rFonts w:ascii="Arial" w:eastAsia="Times New Roman" w:hAnsi="Arial" w:cs="Arial"/>
          <w:color w:val="00002E"/>
          <w:kern w:val="0"/>
          <w:sz w:val="24"/>
          <w:szCs w:val="24"/>
          <w:lang w:eastAsia="pl-PL"/>
          <w14:ligatures w14:val="none"/>
        </w:rPr>
        <w:t> oferowane studentom i niedawnym absolwentom na wszystkich poziomach edukacji. Program ten, który rozpoczął się w 2018 r. jako projekt pilotażowy współfinansowany z programu badawczego "Horyzont 2020", jest częścią </w:t>
      </w:r>
      <w:hyperlink r:id="rId30" w:history="1">
        <w:r w:rsidR="0087653C" w:rsidRPr="0087653C">
          <w:rPr>
            <w:rFonts w:ascii="Arial" w:eastAsia="Times New Roman" w:hAnsi="Arial" w:cs="Arial"/>
            <w:color w:val="0046FF"/>
            <w:kern w:val="0"/>
            <w:sz w:val="24"/>
            <w:szCs w:val="24"/>
            <w:u w:val="single"/>
            <w:lang w:eastAsia="pl-PL"/>
            <w14:ligatures w14:val="none"/>
          </w:rPr>
          <w:t>programu Erasmus+.</w:t>
        </w:r>
      </w:hyperlink>
      <w:r w:rsidR="0087653C" w:rsidRPr="0087653C">
        <w:rPr>
          <w:rFonts w:ascii="Arial" w:eastAsia="Times New Roman" w:hAnsi="Arial" w:cs="Arial"/>
          <w:color w:val="00002E"/>
          <w:kern w:val="0"/>
          <w:sz w:val="24"/>
          <w:szCs w:val="24"/>
          <w:lang w:eastAsia="pl-PL"/>
          <w14:ligatures w14:val="none"/>
        </w:rPr>
        <w:t xml:space="preserve"> Daje uczniom możliwość rozwijania swoich umiejętności ICT / zaawansowanych umiejętności cyfrowych w dziedzinach takich jak </w:t>
      </w:r>
      <w:proofErr w:type="spellStart"/>
      <w:r w:rsidR="0087653C" w:rsidRPr="0087653C">
        <w:rPr>
          <w:rFonts w:ascii="Arial" w:eastAsia="Times New Roman" w:hAnsi="Arial" w:cs="Arial"/>
          <w:color w:val="00002E"/>
          <w:kern w:val="0"/>
          <w:sz w:val="24"/>
          <w:szCs w:val="24"/>
          <w:lang w:eastAsia="pl-PL"/>
          <w14:ligatures w14:val="none"/>
        </w:rPr>
        <w:t>cyberbezpieczeństwo</w:t>
      </w:r>
      <w:proofErr w:type="spellEnd"/>
      <w:r w:rsidR="0087653C" w:rsidRPr="0087653C">
        <w:rPr>
          <w:rFonts w:ascii="Arial" w:eastAsia="Times New Roman" w:hAnsi="Arial" w:cs="Arial"/>
          <w:color w:val="00002E"/>
          <w:kern w:val="0"/>
          <w:sz w:val="24"/>
          <w:szCs w:val="24"/>
          <w:lang w:eastAsia="pl-PL"/>
          <w14:ligatures w14:val="none"/>
        </w:rPr>
        <w:t>, big data, technologia kwantowa, uczenie maszynowe, projektowanie stron internetowych, marketing cyfrowy i tworzenie oprogramowania. . Program okazał się bardzo skuteczny, wspierając około 76 000 staży w szkolnictwie wyższym do 2024 r.</w:t>
      </w:r>
    </w:p>
    <w:p w14:paraId="27C9F87C" w14:textId="77777777" w:rsidR="0087653C" w:rsidRPr="0087653C" w:rsidRDefault="0087653C" w:rsidP="000E4A3F">
      <w:pPr>
        <w:spacing w:before="120" w:after="120" w:line="240" w:lineRule="auto"/>
        <w:outlineLvl w:val="2"/>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 Komisji</w:t>
      </w:r>
    </w:p>
    <w:p w14:paraId="0A4E7F3F" w14:textId="77777777" w:rsidR="0087653C" w:rsidRPr="0087653C" w:rsidRDefault="0087653C" w:rsidP="000E4A3F">
      <w:pPr>
        <w:numPr>
          <w:ilvl w:val="0"/>
          <w:numId w:val="7"/>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Jeśli chcesz odbyć staż w Komisji Europejskiej, odwiedź specjalną </w:t>
      </w:r>
      <w:hyperlink r:id="rId31" w:history="1">
        <w:r w:rsidRPr="0087653C">
          <w:rPr>
            <w:rFonts w:ascii="Arial" w:eastAsia="Times New Roman" w:hAnsi="Arial" w:cs="Arial"/>
            <w:color w:val="0046FF"/>
            <w:kern w:val="0"/>
            <w:sz w:val="24"/>
            <w:szCs w:val="24"/>
            <w:u w:val="single"/>
            <w:lang w:eastAsia="pl-PL"/>
            <w14:ligatures w14:val="none"/>
          </w:rPr>
          <w:t>stronę internetową poświęconą stażom w Komisji Europejskiej</w:t>
        </w:r>
      </w:hyperlink>
      <w:r w:rsidRPr="0087653C">
        <w:rPr>
          <w:rFonts w:ascii="Arial" w:eastAsia="Times New Roman" w:hAnsi="Arial" w:cs="Arial"/>
          <w:color w:val="00002E"/>
          <w:kern w:val="0"/>
          <w:sz w:val="24"/>
          <w:szCs w:val="24"/>
          <w:lang w:eastAsia="pl-PL"/>
          <w14:ligatures w14:val="none"/>
        </w:rPr>
        <w:t>, aby uzyskać więcej informacji.</w:t>
      </w:r>
    </w:p>
    <w:p w14:paraId="00745155" w14:textId="77777777" w:rsidR="0087653C" w:rsidRPr="0087653C" w:rsidRDefault="0087653C" w:rsidP="000E4A3F">
      <w:pPr>
        <w:spacing w:before="120" w:after="120" w:line="240" w:lineRule="auto"/>
        <w:outlineLvl w:val="2"/>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lastRenderedPageBreak/>
        <w:t>W organizacjach międzynarodowych</w:t>
      </w:r>
    </w:p>
    <w:p w14:paraId="0960DB43" w14:textId="77777777" w:rsidR="0087653C" w:rsidRPr="0087653C" w:rsidRDefault="000E6959" w:rsidP="000E4A3F">
      <w:pPr>
        <w:numPr>
          <w:ilvl w:val="0"/>
          <w:numId w:val="8"/>
        </w:numPr>
        <w:spacing w:before="120" w:after="120" w:line="240" w:lineRule="auto"/>
        <w:rPr>
          <w:rFonts w:ascii="Arial" w:eastAsia="Times New Roman" w:hAnsi="Arial" w:cs="Arial"/>
          <w:color w:val="00002E"/>
          <w:kern w:val="0"/>
          <w:sz w:val="24"/>
          <w:szCs w:val="24"/>
          <w:lang w:eastAsia="pl-PL"/>
          <w14:ligatures w14:val="none"/>
        </w:rPr>
      </w:pPr>
      <w:hyperlink r:id="rId32" w:history="1">
        <w:r w:rsidR="0087653C" w:rsidRPr="0087653C">
          <w:rPr>
            <w:rFonts w:ascii="Arial" w:eastAsia="Times New Roman" w:hAnsi="Arial" w:cs="Arial"/>
            <w:color w:val="002A99"/>
            <w:kern w:val="0"/>
            <w:sz w:val="24"/>
            <w:szCs w:val="24"/>
            <w:u w:val="single"/>
            <w:lang w:eastAsia="pl-PL"/>
            <w14:ligatures w14:val="none"/>
          </w:rPr>
          <w:t>Europejski Portal Młodzieżowy</w:t>
        </w:r>
      </w:hyperlink>
      <w:r w:rsidR="0087653C" w:rsidRPr="0087653C">
        <w:rPr>
          <w:rFonts w:ascii="Arial" w:eastAsia="Times New Roman" w:hAnsi="Arial" w:cs="Arial"/>
          <w:color w:val="00002E"/>
          <w:kern w:val="0"/>
          <w:sz w:val="24"/>
          <w:szCs w:val="24"/>
          <w:lang w:eastAsia="pl-PL"/>
          <w14:ligatures w14:val="none"/>
        </w:rPr>
        <w:t> zawiera więcej informacji na temat staży dostępnych w innych instytucjach UE i organizacjach międzynarodowych.</w:t>
      </w:r>
    </w:p>
    <w:p w14:paraId="63C8415A"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Wysokiej jakości staże mogą pomóc młodym ludziom w zdobyciu praktycznego doświadczenia zawodowego, zdobyciu nowych umiejętności i ostatecznie w znalezieniu dobrej jakości pracy. Dla pracodawców są one okazją do przyciągania, szkolenia i zatrzymywania talentów. Wysokiej jakości staż wymaga uczciwych i przejrzystych warunków pracy oraz odpowiednich treści edukacyjnych.</w:t>
      </w:r>
    </w:p>
    <w:p w14:paraId="147FFEE4"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 unijnych ramach jakości staży z 2014 r. określono 21 zasad jakości w celu zapewnienia wysokiej jakości warunków uczenia się i pracy. W swojej ocenie tego zalecenia Rady z 2023 r. Komisja stwierdziła, że miało ono pozytywny wpływ na jakość staży w UE. W ocenie Komisji stwierdzono jednak również możliwość poprawy, a zarówno Konferencja w sprawie przyszłości Europy, jak i Parlament Europejski wezwały Komisję do poprawy staży.</w:t>
      </w:r>
    </w:p>
    <w:p w14:paraId="0D621CE4"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Komisja Europejska podejmuje dziś działania i proponuje </w:t>
      </w:r>
      <w:r w:rsidRPr="0087653C">
        <w:rPr>
          <w:rFonts w:ascii="Arial" w:eastAsia="Times New Roman" w:hAnsi="Arial" w:cs="Arial"/>
          <w:b/>
          <w:bCs/>
          <w:color w:val="00002E"/>
          <w:kern w:val="0"/>
          <w:sz w:val="24"/>
          <w:szCs w:val="24"/>
          <w:lang w:eastAsia="pl-PL"/>
          <w14:ligatures w14:val="none"/>
        </w:rPr>
        <w:t xml:space="preserve">poprawę warunków pracy stażystów, w tym wynagrodzenia, </w:t>
      </w:r>
      <w:proofErr w:type="spellStart"/>
      <w:r w:rsidRPr="0087653C">
        <w:rPr>
          <w:rFonts w:ascii="Arial" w:eastAsia="Times New Roman" w:hAnsi="Arial" w:cs="Arial"/>
          <w:b/>
          <w:bCs/>
          <w:color w:val="00002E"/>
          <w:kern w:val="0"/>
          <w:sz w:val="24"/>
          <w:szCs w:val="24"/>
          <w:lang w:eastAsia="pl-PL"/>
          <w14:ligatures w14:val="none"/>
        </w:rPr>
        <w:t>inkluzywności</w:t>
      </w:r>
      <w:proofErr w:type="spellEnd"/>
      <w:r w:rsidRPr="0087653C">
        <w:rPr>
          <w:rFonts w:ascii="Arial" w:eastAsia="Times New Roman" w:hAnsi="Arial" w:cs="Arial"/>
          <w:b/>
          <w:bCs/>
          <w:color w:val="00002E"/>
          <w:kern w:val="0"/>
          <w:sz w:val="24"/>
          <w:szCs w:val="24"/>
          <w:lang w:eastAsia="pl-PL"/>
          <w14:ligatures w14:val="none"/>
        </w:rPr>
        <w:t xml:space="preserve"> i jakości staży w UE</w:t>
      </w:r>
      <w:r w:rsidRPr="0087653C">
        <w:rPr>
          <w:rFonts w:ascii="Arial" w:eastAsia="Times New Roman" w:hAnsi="Arial" w:cs="Arial"/>
          <w:color w:val="00002E"/>
          <w:kern w:val="0"/>
          <w:sz w:val="24"/>
          <w:szCs w:val="24"/>
          <w:lang w:eastAsia="pl-PL"/>
          <w14:ligatures w14:val="none"/>
        </w:rPr>
        <w:t>. Inicjatywa składa się z:</w:t>
      </w:r>
    </w:p>
    <w:p w14:paraId="07FB02D1" w14:textId="77777777" w:rsidR="0087653C" w:rsidRPr="0087653C" w:rsidRDefault="000E6959" w:rsidP="000E4A3F">
      <w:pPr>
        <w:numPr>
          <w:ilvl w:val="0"/>
          <w:numId w:val="9"/>
        </w:numPr>
        <w:spacing w:before="120" w:after="120" w:line="240" w:lineRule="auto"/>
        <w:rPr>
          <w:rFonts w:ascii="Arial" w:eastAsia="Times New Roman" w:hAnsi="Arial" w:cs="Arial"/>
          <w:color w:val="00002E"/>
          <w:kern w:val="0"/>
          <w:sz w:val="24"/>
          <w:szCs w:val="24"/>
          <w:lang w:eastAsia="pl-PL"/>
          <w14:ligatures w14:val="none"/>
        </w:rPr>
      </w:pPr>
      <w:hyperlink r:id="rId33" w:history="1">
        <w:r w:rsidR="0087653C" w:rsidRPr="0087653C">
          <w:rPr>
            <w:rFonts w:ascii="Arial" w:eastAsia="Times New Roman" w:hAnsi="Arial" w:cs="Arial"/>
            <w:b/>
            <w:bCs/>
            <w:color w:val="0046FF"/>
            <w:kern w:val="0"/>
            <w:sz w:val="24"/>
            <w:szCs w:val="24"/>
            <w:u w:val="single"/>
            <w:lang w:eastAsia="pl-PL"/>
            <w14:ligatures w14:val="none"/>
          </w:rPr>
          <w:t>wniosek dotyczący dyrektywy</w:t>
        </w:r>
      </w:hyperlink>
      <w:r w:rsidR="0087653C" w:rsidRPr="0087653C">
        <w:rPr>
          <w:rFonts w:ascii="Arial" w:eastAsia="Times New Roman" w:hAnsi="Arial" w:cs="Arial"/>
          <w:color w:val="00002E"/>
          <w:kern w:val="0"/>
          <w:sz w:val="24"/>
          <w:szCs w:val="24"/>
          <w:lang w:eastAsia="pl-PL"/>
          <w14:ligatures w14:val="none"/>
        </w:rPr>
        <w:t> w sprawie poprawy i egzekwowania warunków pracy stażystów oraz zwalczania legalnych stosunków pracy pod przykrywką staży</w:t>
      </w:r>
    </w:p>
    <w:p w14:paraId="43A7B0F1" w14:textId="77777777" w:rsidR="0087653C" w:rsidRPr="0087653C" w:rsidRDefault="000E6959" w:rsidP="000E4A3F">
      <w:pPr>
        <w:numPr>
          <w:ilvl w:val="0"/>
          <w:numId w:val="9"/>
        </w:numPr>
        <w:spacing w:before="120" w:after="120" w:line="240" w:lineRule="auto"/>
        <w:rPr>
          <w:rFonts w:ascii="Arial" w:eastAsia="Times New Roman" w:hAnsi="Arial" w:cs="Arial"/>
          <w:color w:val="00002E"/>
          <w:kern w:val="0"/>
          <w:sz w:val="24"/>
          <w:szCs w:val="24"/>
          <w:lang w:eastAsia="pl-PL"/>
          <w14:ligatures w14:val="none"/>
        </w:rPr>
      </w:pPr>
      <w:hyperlink r:id="rId34" w:history="1">
        <w:r w:rsidR="0087653C" w:rsidRPr="0087653C">
          <w:rPr>
            <w:rFonts w:ascii="Arial" w:eastAsia="Times New Roman" w:hAnsi="Arial" w:cs="Arial"/>
            <w:b/>
            <w:bCs/>
            <w:color w:val="0046FF"/>
            <w:kern w:val="0"/>
            <w:sz w:val="24"/>
            <w:szCs w:val="24"/>
            <w:u w:val="single"/>
            <w:lang w:eastAsia="pl-PL"/>
            <w14:ligatures w14:val="none"/>
          </w:rPr>
          <w:t>wniosek dotyczący zmiany zalecenia Rady z 2014 r. w sprawie ram jakości staży</w:t>
        </w:r>
      </w:hyperlink>
      <w:r w:rsidR="0087653C" w:rsidRPr="0087653C">
        <w:rPr>
          <w:rFonts w:ascii="Arial" w:eastAsia="Times New Roman" w:hAnsi="Arial" w:cs="Arial"/>
          <w:b/>
          <w:bCs/>
          <w:color w:val="00002E"/>
          <w:kern w:val="0"/>
          <w:sz w:val="24"/>
          <w:szCs w:val="24"/>
          <w:lang w:eastAsia="pl-PL"/>
          <w14:ligatures w14:val="none"/>
        </w:rPr>
        <w:t> </w:t>
      </w:r>
      <w:r w:rsidR="0087653C" w:rsidRPr="0087653C">
        <w:rPr>
          <w:rFonts w:ascii="Arial" w:eastAsia="Times New Roman" w:hAnsi="Arial" w:cs="Arial"/>
          <w:color w:val="00002E"/>
          <w:kern w:val="0"/>
          <w:sz w:val="24"/>
          <w:szCs w:val="24"/>
          <w:lang w:eastAsia="pl-PL"/>
          <w14:ligatures w14:val="none"/>
        </w:rPr>
        <w:t>w celu rozwiązania problemów związanych z jakością i włączeniem społecznym, takich jak sprawiedliwe wynagrodzenie i dostęp do ochrony socjalnej</w:t>
      </w:r>
    </w:p>
    <w:p w14:paraId="133BDD0E"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Szacuje się, że w 2019 r. w UE było 3,1 mln stażystów. Około połowa wszystkich stażystów (1,6 mln) uczestniczyła w płatnych stażach.</w:t>
      </w:r>
    </w:p>
    <w:p w14:paraId="7A9C0AD8"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Zwiększenie uprawnień stażystów</w:t>
      </w:r>
    </w:p>
    <w:p w14:paraId="4F58F97A"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Proponowana dyrektywa pomoże państwom członkowskim poprawić i egzekwować dobrej jakości warunki pracy dla stażystów, a także zwalczać regularne stosunki pracy pod przykrywką staży.</w:t>
      </w:r>
    </w:p>
    <w:p w14:paraId="2367A4A6"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Kluczowe elementy proponowanej dyrektywy obejmują:</w:t>
      </w:r>
    </w:p>
    <w:p w14:paraId="5A243A49" w14:textId="77777777" w:rsidR="0087653C" w:rsidRPr="0087653C" w:rsidRDefault="0087653C" w:rsidP="000E4A3F">
      <w:pPr>
        <w:numPr>
          <w:ilvl w:val="0"/>
          <w:numId w:val="10"/>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zasada niedyskryminacji</w:t>
      </w:r>
      <w:r w:rsidRPr="0087653C">
        <w:rPr>
          <w:rFonts w:ascii="Arial" w:eastAsia="Times New Roman" w:hAnsi="Arial" w:cs="Arial"/>
          <w:color w:val="00002E"/>
          <w:kern w:val="0"/>
          <w:sz w:val="24"/>
          <w:szCs w:val="24"/>
          <w:lang w:eastAsia="pl-PL"/>
          <w14:ligatures w14:val="none"/>
        </w:rPr>
        <w:t>, zapewniająca, aby stażyści byli traktowani jednakowo pod względem warunków pracy, w tym wynagrodzenia, w porównaniu z pracownikami zatrudnionymi na stałe, chyba że odmienne traktowanie jest uzasadnione obiektywnymi powodami, takimi jak inne zadania, mniejsza odpowiedzialność, intensywność pracy lub waga komponentu edukacyjnego i szkoleniowego</w:t>
      </w:r>
    </w:p>
    <w:p w14:paraId="3ADCF563" w14:textId="77777777" w:rsidR="0087653C" w:rsidRPr="0087653C" w:rsidRDefault="0087653C" w:rsidP="000E4A3F">
      <w:pPr>
        <w:numPr>
          <w:ilvl w:val="0"/>
          <w:numId w:val="10"/>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dopilnowanie, aby staże nie były wykorzystywane do ukrywania stałego zatrudnienia</w:t>
      </w:r>
      <w:r w:rsidRPr="0087653C">
        <w:rPr>
          <w:rFonts w:ascii="Arial" w:eastAsia="Times New Roman" w:hAnsi="Arial" w:cs="Arial"/>
          <w:color w:val="00002E"/>
          <w:kern w:val="0"/>
          <w:sz w:val="24"/>
          <w:szCs w:val="24"/>
          <w:lang w:eastAsia="pl-PL"/>
          <w14:ligatures w14:val="none"/>
        </w:rPr>
        <w:t>, poprzez kontrole i inspekcje, przy czym państwa członkowskie powinny wykorzystywać czas trwania stażu jako możliwy aspekt w celu oceny, czy tak jest, oraz poprzez zwracanie się do przedsiębiorstw o udostępnianie liczby, czasu trwania i warunków pracy staży</w:t>
      </w:r>
    </w:p>
    <w:p w14:paraId="49BE9BE6" w14:textId="77777777" w:rsidR="0087653C" w:rsidRPr="0087653C" w:rsidRDefault="0087653C" w:rsidP="000E4A3F">
      <w:pPr>
        <w:numPr>
          <w:ilvl w:val="0"/>
          <w:numId w:val="10"/>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umożliwienie przedstawicielom pracowników angażowania się w imieniu stażystów</w:t>
      </w:r>
      <w:r w:rsidRPr="0087653C">
        <w:rPr>
          <w:rFonts w:ascii="Arial" w:eastAsia="Times New Roman" w:hAnsi="Arial" w:cs="Arial"/>
          <w:color w:val="00002E"/>
          <w:kern w:val="0"/>
          <w:sz w:val="24"/>
          <w:szCs w:val="24"/>
          <w:lang w:eastAsia="pl-PL"/>
          <w14:ligatures w14:val="none"/>
        </w:rPr>
        <w:t> w celu ochrony ich praw</w:t>
      </w:r>
    </w:p>
    <w:p w14:paraId="306FA497" w14:textId="77777777" w:rsidR="0087653C" w:rsidRPr="0087653C" w:rsidRDefault="0087653C" w:rsidP="000E4A3F">
      <w:pPr>
        <w:numPr>
          <w:ilvl w:val="0"/>
          <w:numId w:val="10"/>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lastRenderedPageBreak/>
        <w:t>zobowiązanie państw członkowskich do</w:t>
      </w:r>
      <w:r w:rsidRPr="0087653C">
        <w:rPr>
          <w:rFonts w:ascii="Arial" w:eastAsia="Times New Roman" w:hAnsi="Arial" w:cs="Arial"/>
          <w:color w:val="00002E"/>
          <w:kern w:val="0"/>
          <w:sz w:val="24"/>
          <w:szCs w:val="24"/>
          <w:lang w:eastAsia="pl-PL"/>
          <w14:ligatures w14:val="none"/>
        </w:rPr>
        <w:t> </w:t>
      </w:r>
      <w:r w:rsidRPr="0087653C">
        <w:rPr>
          <w:rFonts w:ascii="Arial" w:eastAsia="Times New Roman" w:hAnsi="Arial" w:cs="Arial"/>
          <w:b/>
          <w:bCs/>
          <w:color w:val="00002E"/>
          <w:kern w:val="0"/>
          <w:sz w:val="24"/>
          <w:szCs w:val="24"/>
          <w:lang w:eastAsia="pl-PL"/>
          <w14:ligatures w14:val="none"/>
        </w:rPr>
        <w:t>zapewnienia stażystom kanałów zgłaszania nadużyć</w:t>
      </w:r>
      <w:r w:rsidRPr="0087653C">
        <w:rPr>
          <w:rFonts w:ascii="Arial" w:eastAsia="Times New Roman" w:hAnsi="Arial" w:cs="Arial"/>
          <w:color w:val="00002E"/>
          <w:kern w:val="0"/>
          <w:sz w:val="24"/>
          <w:szCs w:val="24"/>
          <w:lang w:eastAsia="pl-PL"/>
          <w14:ligatures w14:val="none"/>
        </w:rPr>
        <w:t> i złych warunków pracy</w:t>
      </w:r>
    </w:p>
    <w:p w14:paraId="460A0D1F"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 xml:space="preserve">Sprawiedliwsze i bardziej </w:t>
      </w:r>
      <w:proofErr w:type="spellStart"/>
      <w:r w:rsidRPr="0087653C">
        <w:rPr>
          <w:rFonts w:ascii="Arial" w:eastAsia="Times New Roman" w:hAnsi="Arial" w:cs="Arial"/>
          <w:color w:val="00002E"/>
          <w:kern w:val="0"/>
          <w:sz w:val="24"/>
          <w:szCs w:val="24"/>
          <w:lang w:eastAsia="pl-PL"/>
          <w14:ligatures w14:val="none"/>
        </w:rPr>
        <w:t>inkluzywne</w:t>
      </w:r>
      <w:proofErr w:type="spellEnd"/>
      <w:r w:rsidRPr="0087653C">
        <w:rPr>
          <w:rFonts w:ascii="Arial" w:eastAsia="Times New Roman" w:hAnsi="Arial" w:cs="Arial"/>
          <w:color w:val="00002E"/>
          <w:kern w:val="0"/>
          <w:sz w:val="24"/>
          <w:szCs w:val="24"/>
          <w:lang w:eastAsia="pl-PL"/>
          <w14:ligatures w14:val="none"/>
        </w:rPr>
        <w:t xml:space="preserve"> staże</w:t>
      </w:r>
    </w:p>
    <w:p w14:paraId="0AA6370E"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Wzmocnione zalecenie Rady ma zastosowanie do </w:t>
      </w:r>
      <w:r w:rsidRPr="0087653C">
        <w:rPr>
          <w:rFonts w:ascii="Arial" w:eastAsia="Times New Roman" w:hAnsi="Arial" w:cs="Arial"/>
          <w:b/>
          <w:bCs/>
          <w:color w:val="00002E"/>
          <w:kern w:val="0"/>
          <w:sz w:val="24"/>
          <w:szCs w:val="24"/>
          <w:lang w:eastAsia="pl-PL"/>
          <w14:ligatures w14:val="none"/>
        </w:rPr>
        <w:t>wszystkich </w:t>
      </w:r>
      <w:r w:rsidRPr="0087653C">
        <w:rPr>
          <w:rFonts w:ascii="Arial" w:eastAsia="Times New Roman" w:hAnsi="Arial" w:cs="Arial"/>
          <w:color w:val="00002E"/>
          <w:kern w:val="0"/>
          <w:sz w:val="24"/>
          <w:szCs w:val="24"/>
          <w:lang w:eastAsia="pl-PL"/>
          <w14:ligatures w14:val="none"/>
        </w:rPr>
        <w:t>stażystów, niezależnie od ich statusu zatrudnienia, w tym do staży, które stanowią część formalnych programów kształcenia i szkolenia oraz do staży wymaganych do uzyskania dostępu do określonych zawodów.</w:t>
      </w:r>
    </w:p>
    <w:p w14:paraId="259AD0EE"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Kluczowe elementy zmienionego zalecenia Rady obejmują:</w:t>
      </w:r>
    </w:p>
    <w:p w14:paraId="3F4E00D2" w14:textId="77777777" w:rsidR="0087653C" w:rsidRPr="0087653C" w:rsidRDefault="0087653C" w:rsidP="000E4A3F">
      <w:pPr>
        <w:numPr>
          <w:ilvl w:val="0"/>
          <w:numId w:val="11"/>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Zalecanie sprawiedliwego wynagrodzenia</w:t>
      </w:r>
      <w:r w:rsidRPr="0087653C">
        <w:rPr>
          <w:rFonts w:ascii="Arial" w:eastAsia="Times New Roman" w:hAnsi="Arial" w:cs="Arial"/>
          <w:color w:val="00002E"/>
          <w:kern w:val="0"/>
          <w:sz w:val="24"/>
          <w:szCs w:val="24"/>
          <w:lang w:eastAsia="pl-PL"/>
          <w14:ligatures w14:val="none"/>
        </w:rPr>
        <w:t> </w:t>
      </w:r>
      <w:r w:rsidRPr="0087653C">
        <w:rPr>
          <w:rFonts w:ascii="Arial" w:eastAsia="Times New Roman" w:hAnsi="Arial" w:cs="Arial"/>
          <w:b/>
          <w:bCs/>
          <w:color w:val="00002E"/>
          <w:kern w:val="0"/>
          <w:sz w:val="24"/>
          <w:szCs w:val="24"/>
          <w:lang w:eastAsia="pl-PL"/>
          <w14:ligatures w14:val="none"/>
        </w:rPr>
        <w:t>dla stażystów</w:t>
      </w:r>
    </w:p>
    <w:p w14:paraId="2E824145" w14:textId="77777777" w:rsidR="0087653C" w:rsidRPr="0087653C" w:rsidRDefault="0087653C" w:rsidP="000E4A3F">
      <w:pPr>
        <w:numPr>
          <w:ilvl w:val="0"/>
          <w:numId w:val="11"/>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zapewnienie </w:t>
      </w:r>
      <w:r w:rsidRPr="0087653C">
        <w:rPr>
          <w:rFonts w:ascii="Arial" w:eastAsia="Times New Roman" w:hAnsi="Arial" w:cs="Arial"/>
          <w:b/>
          <w:bCs/>
          <w:color w:val="00002E"/>
          <w:kern w:val="0"/>
          <w:sz w:val="24"/>
          <w:szCs w:val="24"/>
          <w:lang w:eastAsia="pl-PL"/>
          <w14:ligatures w14:val="none"/>
        </w:rPr>
        <w:t>stażystów dostępu do</w:t>
      </w:r>
      <w:r w:rsidRPr="0087653C">
        <w:rPr>
          <w:rFonts w:ascii="Arial" w:eastAsia="Times New Roman" w:hAnsi="Arial" w:cs="Arial"/>
          <w:color w:val="00002E"/>
          <w:kern w:val="0"/>
          <w:sz w:val="24"/>
          <w:szCs w:val="24"/>
          <w:lang w:eastAsia="pl-PL"/>
          <w14:ligatures w14:val="none"/>
        </w:rPr>
        <w:t> </w:t>
      </w:r>
      <w:r w:rsidRPr="0087653C">
        <w:rPr>
          <w:rFonts w:ascii="Arial" w:eastAsia="Times New Roman" w:hAnsi="Arial" w:cs="Arial"/>
          <w:b/>
          <w:bCs/>
          <w:color w:val="00002E"/>
          <w:kern w:val="0"/>
          <w:sz w:val="24"/>
          <w:szCs w:val="24"/>
          <w:lang w:eastAsia="pl-PL"/>
          <w14:ligatures w14:val="none"/>
        </w:rPr>
        <w:t>odpowiedniej ochrony socjalnej</w:t>
      </w:r>
      <w:r w:rsidRPr="0087653C">
        <w:rPr>
          <w:rFonts w:ascii="Arial" w:eastAsia="Times New Roman" w:hAnsi="Arial" w:cs="Arial"/>
          <w:color w:val="00002E"/>
          <w:kern w:val="0"/>
          <w:sz w:val="24"/>
          <w:szCs w:val="24"/>
          <w:lang w:eastAsia="pl-PL"/>
          <w14:ligatures w14:val="none"/>
        </w:rPr>
        <w:t>, w tym odpowiedniego zakresu ochrony zgodnie z ustawodawstwem krajowym państwa członkowskiego</w:t>
      </w:r>
    </w:p>
    <w:p w14:paraId="560ECAC2" w14:textId="77777777" w:rsidR="0087653C" w:rsidRPr="0087653C" w:rsidRDefault="0087653C" w:rsidP="000E4A3F">
      <w:pPr>
        <w:numPr>
          <w:ilvl w:val="0"/>
          <w:numId w:val="11"/>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wyznaczenie mentora, </w:t>
      </w:r>
      <w:r w:rsidRPr="0087653C">
        <w:rPr>
          <w:rFonts w:ascii="Arial" w:eastAsia="Times New Roman" w:hAnsi="Arial" w:cs="Arial"/>
          <w:color w:val="00002E"/>
          <w:kern w:val="0"/>
          <w:sz w:val="24"/>
          <w:szCs w:val="24"/>
          <w:lang w:eastAsia="pl-PL"/>
          <w14:ligatures w14:val="none"/>
        </w:rPr>
        <w:t>który zapewni stażystom ukierunkowane wsparcie i porady</w:t>
      </w:r>
    </w:p>
    <w:p w14:paraId="10855463" w14:textId="77777777" w:rsidR="0087653C" w:rsidRPr="0087653C" w:rsidRDefault="0087653C" w:rsidP="000E4A3F">
      <w:pPr>
        <w:numPr>
          <w:ilvl w:val="0"/>
          <w:numId w:val="11"/>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promowanie równego dostępu do możliwości odbycia praktyki zawodowej</w:t>
      </w:r>
      <w:r w:rsidRPr="0087653C">
        <w:rPr>
          <w:rFonts w:ascii="Arial" w:eastAsia="Times New Roman" w:hAnsi="Arial" w:cs="Arial"/>
          <w:color w:val="00002E"/>
          <w:kern w:val="0"/>
          <w:sz w:val="24"/>
          <w:szCs w:val="24"/>
          <w:lang w:eastAsia="pl-PL"/>
          <w14:ligatures w14:val="none"/>
        </w:rPr>
        <w:t> poprzez docieranie do osób znajdujących się w trudnej sytuacji oraz poprzez zapewnianie dostępności miejsc pracy dla stażystów z niepełnosprawnościami</w:t>
      </w:r>
    </w:p>
    <w:p w14:paraId="6603209F" w14:textId="77777777" w:rsidR="0087653C" w:rsidRPr="0087653C" w:rsidRDefault="0087653C" w:rsidP="000E4A3F">
      <w:pPr>
        <w:numPr>
          <w:ilvl w:val="0"/>
          <w:numId w:val="11"/>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umożliwienie</w:t>
      </w:r>
      <w:r w:rsidRPr="0087653C">
        <w:rPr>
          <w:rFonts w:ascii="Arial" w:eastAsia="Times New Roman" w:hAnsi="Arial" w:cs="Arial"/>
          <w:color w:val="00002E"/>
          <w:kern w:val="0"/>
          <w:sz w:val="24"/>
          <w:szCs w:val="24"/>
          <w:lang w:eastAsia="pl-PL"/>
          <w14:ligatures w14:val="none"/>
        </w:rPr>
        <w:t> </w:t>
      </w:r>
      <w:r w:rsidRPr="0087653C">
        <w:rPr>
          <w:rFonts w:ascii="Arial" w:eastAsia="Times New Roman" w:hAnsi="Arial" w:cs="Arial"/>
          <w:b/>
          <w:bCs/>
          <w:color w:val="00002E"/>
          <w:kern w:val="0"/>
          <w:sz w:val="24"/>
          <w:szCs w:val="24"/>
          <w:lang w:eastAsia="pl-PL"/>
          <w14:ligatures w14:val="none"/>
        </w:rPr>
        <w:t>pracy hybrydowej i zdalnej</w:t>
      </w:r>
      <w:r w:rsidRPr="0087653C">
        <w:rPr>
          <w:rFonts w:ascii="Arial" w:eastAsia="Times New Roman" w:hAnsi="Arial" w:cs="Arial"/>
          <w:color w:val="00002E"/>
          <w:kern w:val="0"/>
          <w:sz w:val="24"/>
          <w:szCs w:val="24"/>
          <w:lang w:eastAsia="pl-PL"/>
          <w14:ligatures w14:val="none"/>
        </w:rPr>
        <w:t> poprzez zapewnienie stażystom potrzebnego sprzętu</w:t>
      </w:r>
    </w:p>
    <w:p w14:paraId="2107589E" w14:textId="77777777" w:rsidR="0087653C" w:rsidRPr="0087653C" w:rsidRDefault="0087653C" w:rsidP="000E4A3F">
      <w:pPr>
        <w:numPr>
          <w:ilvl w:val="0"/>
          <w:numId w:val="11"/>
        </w:num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b/>
          <w:bCs/>
          <w:color w:val="00002E"/>
          <w:kern w:val="0"/>
          <w:sz w:val="24"/>
          <w:szCs w:val="24"/>
          <w:lang w:eastAsia="pl-PL"/>
          <w14:ligatures w14:val="none"/>
        </w:rPr>
        <w:t>zwiększenie szans na zatrudnienie</w:t>
      </w:r>
      <w:r w:rsidRPr="0087653C">
        <w:rPr>
          <w:rFonts w:ascii="Arial" w:eastAsia="Times New Roman" w:hAnsi="Arial" w:cs="Arial"/>
          <w:color w:val="00002E"/>
          <w:kern w:val="0"/>
          <w:sz w:val="24"/>
          <w:szCs w:val="24"/>
          <w:lang w:eastAsia="pl-PL"/>
          <w14:ligatures w14:val="none"/>
        </w:rPr>
        <w:t> dzięki dodatkowemu poradnictwu zawodowemu i zachętom dla organizatorów staży, aby oferowali stażystom stałe stanowisko po odbyciu stażu</w:t>
      </w:r>
    </w:p>
    <w:p w14:paraId="31DF6B9C"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Te nowe elementy stanowią uzupełnienie już istniejącego zalecenia w sprawie ram jakości staży z 2014 r., takich jak jasne ogłoszenia o naborze, dostarczenie pisemnej umowy przed rozpoczęciem stażu, w której określono warunki, zapewnienie, aby staże nie były nadmiernie długie ani powtarzalne, zapewnienie, aby doświadczenie edukacyjne stanowiło jego zasadniczą część, zagwarantowanie aspektów związanych ze zdrowiem i bezpieczeństwem. a następnie promowanie ich uznania.</w:t>
      </w:r>
    </w:p>
    <w:p w14:paraId="632FFAB7"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Następne kroki</w:t>
      </w:r>
    </w:p>
    <w:p w14:paraId="42B21D6A"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 xml:space="preserve">Proponowana przez Komisję dyrektywa zostanie omówiona przez Parlament Europejski i państwa członkowskie. Po przyjęciu proponowanej dyrektywy przez </w:t>
      </w:r>
      <w:proofErr w:type="spellStart"/>
      <w:r w:rsidRPr="0087653C">
        <w:rPr>
          <w:rFonts w:ascii="Arial" w:eastAsia="Times New Roman" w:hAnsi="Arial" w:cs="Arial"/>
          <w:color w:val="00002E"/>
          <w:kern w:val="0"/>
          <w:sz w:val="24"/>
          <w:szCs w:val="24"/>
          <w:lang w:eastAsia="pl-PL"/>
          <w14:ligatures w14:val="none"/>
        </w:rPr>
        <w:t>współprawodawców</w:t>
      </w:r>
      <w:proofErr w:type="spellEnd"/>
      <w:r w:rsidRPr="0087653C">
        <w:rPr>
          <w:rFonts w:ascii="Arial" w:eastAsia="Times New Roman" w:hAnsi="Arial" w:cs="Arial"/>
          <w:color w:val="00002E"/>
          <w:kern w:val="0"/>
          <w:sz w:val="24"/>
          <w:szCs w:val="24"/>
          <w:lang w:eastAsia="pl-PL"/>
          <w14:ligatures w14:val="none"/>
        </w:rPr>
        <w:t xml:space="preserve"> państwa członkowskie będą miały dwa lata na jej transpozycję do prawa krajowego.</w:t>
      </w:r>
    </w:p>
    <w:p w14:paraId="461F4AAB"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Zalecenie Rady zostanie przedstawione Radzie do rozpatrzenia i przyjęcia. Następnie Komisja będzie wspierać państwa członkowskie we wdrażaniu zalecenia i zwróci się do nich o przedstawienie aktualnych informacji na temat krajowych inicjatyw, reform, najlepszych praktyk i danych statystycznych.</w:t>
      </w:r>
    </w:p>
    <w:p w14:paraId="39804FD3" w14:textId="77777777" w:rsidR="0087653C" w:rsidRPr="0087653C" w:rsidRDefault="0087653C" w:rsidP="000E4A3F">
      <w:pPr>
        <w:spacing w:before="120" w:after="120" w:line="240" w:lineRule="auto"/>
        <w:outlineLvl w:val="1"/>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Tło</w:t>
      </w:r>
    </w:p>
    <w:p w14:paraId="0A8312FE" w14:textId="77777777" w:rsidR="0087653C" w:rsidRPr="0087653C" w:rsidRDefault="000E6959" w:rsidP="000E4A3F">
      <w:pPr>
        <w:spacing w:before="120" w:after="120" w:line="240" w:lineRule="auto"/>
        <w:rPr>
          <w:rFonts w:ascii="Arial" w:eastAsia="Times New Roman" w:hAnsi="Arial" w:cs="Arial"/>
          <w:color w:val="00002E"/>
          <w:kern w:val="0"/>
          <w:sz w:val="24"/>
          <w:szCs w:val="24"/>
          <w:lang w:eastAsia="pl-PL"/>
          <w14:ligatures w14:val="none"/>
        </w:rPr>
      </w:pPr>
      <w:hyperlink r:id="rId35" w:history="1">
        <w:r w:rsidR="0087653C" w:rsidRPr="0087653C">
          <w:rPr>
            <w:rFonts w:ascii="Arial" w:eastAsia="Times New Roman" w:hAnsi="Arial" w:cs="Arial"/>
            <w:color w:val="0046FF"/>
            <w:kern w:val="0"/>
            <w:sz w:val="24"/>
            <w:szCs w:val="24"/>
            <w:u w:val="single"/>
            <w:lang w:eastAsia="pl-PL"/>
            <w14:ligatures w14:val="none"/>
          </w:rPr>
          <w:t>Unijne ramy jakości staży z 2014</w:t>
        </w:r>
      </w:hyperlink>
      <w:r w:rsidR="0087653C" w:rsidRPr="0087653C">
        <w:rPr>
          <w:rFonts w:ascii="Arial" w:eastAsia="Times New Roman" w:hAnsi="Arial" w:cs="Arial"/>
          <w:color w:val="00002E"/>
          <w:kern w:val="0"/>
          <w:sz w:val="24"/>
          <w:szCs w:val="24"/>
          <w:lang w:eastAsia="pl-PL"/>
          <w14:ligatures w14:val="none"/>
        </w:rPr>
        <w:t> r. określają 21 zasad jakości staży, które państwa członkowskie powinny stosować w praktyce w celu zapewnienia wysokiej jakości warunków uczenia się i pracy. W swojej ocenie tego zalecenia Rady z </w:t>
      </w:r>
      <w:hyperlink r:id="rId36" w:history="1">
        <w:r w:rsidR="0087653C" w:rsidRPr="0087653C">
          <w:rPr>
            <w:rFonts w:ascii="Arial" w:eastAsia="Times New Roman" w:hAnsi="Arial" w:cs="Arial"/>
            <w:color w:val="0046FF"/>
            <w:kern w:val="0"/>
            <w:sz w:val="24"/>
            <w:szCs w:val="24"/>
            <w:u w:val="single"/>
            <w:lang w:eastAsia="pl-PL"/>
            <w14:ligatures w14:val="none"/>
          </w:rPr>
          <w:t>2023</w:t>
        </w:r>
      </w:hyperlink>
      <w:r w:rsidR="0087653C" w:rsidRPr="0087653C">
        <w:rPr>
          <w:rFonts w:ascii="Arial" w:eastAsia="Times New Roman" w:hAnsi="Arial" w:cs="Arial"/>
          <w:color w:val="00002E"/>
          <w:kern w:val="0"/>
          <w:sz w:val="24"/>
          <w:szCs w:val="24"/>
          <w:lang w:eastAsia="pl-PL"/>
          <w14:ligatures w14:val="none"/>
        </w:rPr>
        <w:t xml:space="preserve"> r. Komisja stwierdziła, że miało ono pozytywny wpływ na jakość staży w UE. </w:t>
      </w:r>
      <w:r w:rsidR="0087653C" w:rsidRPr="0087653C">
        <w:rPr>
          <w:rFonts w:ascii="Arial" w:eastAsia="Times New Roman" w:hAnsi="Arial" w:cs="Arial"/>
          <w:color w:val="00002E"/>
          <w:kern w:val="0"/>
          <w:sz w:val="24"/>
          <w:szCs w:val="24"/>
          <w:lang w:eastAsia="pl-PL"/>
          <w14:ligatures w14:val="none"/>
        </w:rPr>
        <w:lastRenderedPageBreak/>
        <w:t>Jednocześnie w ocenie stwierdzono możliwość poprawy w zakresie stosowania, monitorowania i egzekwowania zasad jakości ram.</w:t>
      </w:r>
    </w:p>
    <w:p w14:paraId="617C5CBC"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Szacuje się, że w UE jest około 3,1 mln stażystów (w tym 1,6 mln stażystów opłacanych), a oczekuje się, że do 2030 r. popyt na praktyki zawodowe wzrośnie o co najmniej 16 %. Według </w:t>
      </w:r>
      <w:hyperlink r:id="rId37" w:history="1">
        <w:r w:rsidRPr="0087653C">
          <w:rPr>
            <w:rFonts w:ascii="Arial" w:eastAsia="Times New Roman" w:hAnsi="Arial" w:cs="Arial"/>
            <w:color w:val="0046FF"/>
            <w:kern w:val="0"/>
            <w:sz w:val="24"/>
            <w:szCs w:val="24"/>
            <w:u w:val="single"/>
            <w:lang w:eastAsia="pl-PL"/>
            <w14:ligatures w14:val="none"/>
          </w:rPr>
          <w:t>badania Eurobarometru z 2023</w:t>
        </w:r>
      </w:hyperlink>
      <w:r w:rsidRPr="0087653C">
        <w:rPr>
          <w:rFonts w:ascii="Arial" w:eastAsia="Times New Roman" w:hAnsi="Arial" w:cs="Arial"/>
          <w:color w:val="00002E"/>
          <w:kern w:val="0"/>
          <w:sz w:val="24"/>
          <w:szCs w:val="24"/>
          <w:lang w:eastAsia="pl-PL"/>
          <w14:ligatures w14:val="none"/>
        </w:rPr>
        <w:t> r. 78 proc. młodych Europejczyków odbyło co najmniej jedno staż, a 68 proc. stwierdziło, że po jego zakończeniu znalazło pracę. 21 % respondentów odbyło praktykę zawodową w innym państwie członkowskim, co stanowi znaczny wzrost od 2013 r. (9 %).</w:t>
      </w:r>
    </w:p>
    <w:p w14:paraId="7AFE768E" w14:textId="77777777" w:rsidR="0087653C" w:rsidRPr="0087653C" w:rsidRDefault="0087653C" w:rsidP="000E4A3F">
      <w:pPr>
        <w:spacing w:before="120" w:after="120" w:line="240" w:lineRule="auto"/>
        <w:rPr>
          <w:rFonts w:ascii="Arial" w:eastAsia="Times New Roman" w:hAnsi="Arial" w:cs="Arial"/>
          <w:color w:val="00002E"/>
          <w:kern w:val="0"/>
          <w:sz w:val="24"/>
          <w:szCs w:val="24"/>
          <w:lang w:eastAsia="pl-PL"/>
          <w14:ligatures w14:val="none"/>
        </w:rPr>
      </w:pPr>
      <w:r w:rsidRPr="0087653C">
        <w:rPr>
          <w:rFonts w:ascii="Arial" w:eastAsia="Times New Roman" w:hAnsi="Arial" w:cs="Arial"/>
          <w:color w:val="00002E"/>
          <w:kern w:val="0"/>
          <w:sz w:val="24"/>
          <w:szCs w:val="24"/>
          <w:lang w:eastAsia="pl-PL"/>
          <w14:ligatures w14:val="none"/>
        </w:rPr>
        <w:t>Dzisiejszy pakiet jest nawiązaniem do </w:t>
      </w:r>
      <w:hyperlink r:id="rId38" w:history="1">
        <w:r w:rsidRPr="0087653C">
          <w:rPr>
            <w:rFonts w:ascii="Arial" w:eastAsia="Times New Roman" w:hAnsi="Arial" w:cs="Arial"/>
            <w:color w:val="0046FF"/>
            <w:kern w:val="0"/>
            <w:sz w:val="24"/>
            <w:szCs w:val="24"/>
            <w:u w:val="single"/>
            <w:lang w:eastAsia="pl-PL"/>
            <w14:ligatures w14:val="none"/>
          </w:rPr>
          <w:t>rezolucji Parlamentu Europejskiego z czerwca 2023</w:t>
        </w:r>
      </w:hyperlink>
      <w:r w:rsidRPr="0087653C">
        <w:rPr>
          <w:rFonts w:ascii="Arial" w:eastAsia="Times New Roman" w:hAnsi="Arial" w:cs="Arial"/>
          <w:color w:val="00002E"/>
          <w:kern w:val="0"/>
          <w:sz w:val="24"/>
          <w:szCs w:val="24"/>
          <w:lang w:eastAsia="pl-PL"/>
          <w14:ligatures w14:val="none"/>
        </w:rPr>
        <w:t> r., w której wezwano Komisję do aktualizacji ram jakości z 2014 r.; </w:t>
      </w:r>
      <w:hyperlink r:id="rId39" w:history="1">
        <w:r w:rsidRPr="0087653C">
          <w:rPr>
            <w:rFonts w:ascii="Arial" w:eastAsia="Times New Roman" w:hAnsi="Arial" w:cs="Arial"/>
            <w:color w:val="0046FF"/>
            <w:kern w:val="0"/>
            <w:sz w:val="24"/>
            <w:szCs w:val="24"/>
            <w:u w:val="single"/>
            <w:lang w:eastAsia="pl-PL"/>
            <w14:ligatures w14:val="none"/>
          </w:rPr>
          <w:t>Konferencja w sprawie przyszłości Europy</w:t>
        </w:r>
      </w:hyperlink>
      <w:r w:rsidRPr="0087653C">
        <w:rPr>
          <w:rFonts w:ascii="Arial" w:eastAsia="Times New Roman" w:hAnsi="Arial" w:cs="Arial"/>
          <w:color w:val="00002E"/>
          <w:kern w:val="0"/>
          <w:sz w:val="24"/>
          <w:szCs w:val="24"/>
          <w:lang w:eastAsia="pl-PL"/>
          <w14:ligatures w14:val="none"/>
        </w:rPr>
        <w:t>, podczas której obywatele UE zwrócili się do Komisji o zapewnienie wysokiej jakości staży; oraz </w:t>
      </w:r>
      <w:hyperlink r:id="rId40" w:anchor=":~:text=2022%20was%20the%20European%20Year,voice%2C%20and%20it%20was%20heard!" w:history="1">
        <w:r w:rsidRPr="0087653C">
          <w:rPr>
            <w:rFonts w:ascii="Arial" w:eastAsia="Times New Roman" w:hAnsi="Arial" w:cs="Arial"/>
            <w:color w:val="0046FF"/>
            <w:kern w:val="0"/>
            <w:sz w:val="24"/>
            <w:szCs w:val="24"/>
            <w:u w:val="single"/>
            <w:lang w:eastAsia="pl-PL"/>
            <w14:ligatures w14:val="none"/>
          </w:rPr>
          <w:t>Europejski Rok Młodzieży</w:t>
        </w:r>
      </w:hyperlink>
      <w:r w:rsidRPr="0087653C">
        <w:rPr>
          <w:rFonts w:ascii="Arial" w:eastAsia="Times New Roman" w:hAnsi="Arial" w:cs="Arial"/>
          <w:color w:val="00002E"/>
          <w:kern w:val="0"/>
          <w:sz w:val="24"/>
          <w:szCs w:val="24"/>
          <w:lang w:eastAsia="pl-PL"/>
          <w14:ligatures w14:val="none"/>
        </w:rPr>
        <w:t>. Przyczynia się on również do realizacji </w:t>
      </w:r>
      <w:hyperlink r:id="rId41" w:history="1">
        <w:r w:rsidRPr="0087653C">
          <w:rPr>
            <w:rFonts w:ascii="Arial" w:eastAsia="Times New Roman" w:hAnsi="Arial" w:cs="Arial"/>
            <w:color w:val="0046FF"/>
            <w:kern w:val="0"/>
            <w:sz w:val="24"/>
            <w:szCs w:val="24"/>
            <w:u w:val="single"/>
            <w:lang w:eastAsia="pl-PL"/>
            <w14:ligatures w14:val="none"/>
          </w:rPr>
          <w:t>Europejskiego Roku Umiejętności</w:t>
        </w:r>
      </w:hyperlink>
      <w:r w:rsidRPr="0087653C">
        <w:rPr>
          <w:rFonts w:ascii="Arial" w:eastAsia="Times New Roman" w:hAnsi="Arial" w:cs="Arial"/>
          <w:color w:val="00002E"/>
          <w:kern w:val="0"/>
          <w:sz w:val="24"/>
          <w:szCs w:val="24"/>
          <w:lang w:eastAsia="pl-PL"/>
          <w14:ligatures w14:val="none"/>
        </w:rPr>
        <w:t> i uzupełnia </w:t>
      </w:r>
      <w:hyperlink r:id="rId42" w:history="1">
        <w:r w:rsidRPr="0087653C">
          <w:rPr>
            <w:rFonts w:ascii="Arial" w:eastAsia="Times New Roman" w:hAnsi="Arial" w:cs="Arial"/>
            <w:color w:val="0046FF"/>
            <w:kern w:val="0"/>
            <w:sz w:val="24"/>
            <w:szCs w:val="24"/>
            <w:u w:val="single"/>
            <w:lang w:eastAsia="pl-PL"/>
            <w14:ligatures w14:val="none"/>
          </w:rPr>
          <w:t>wzmocnioną gwarancję dla młodzieży</w:t>
        </w:r>
      </w:hyperlink>
      <w:r w:rsidRPr="0087653C">
        <w:rPr>
          <w:rFonts w:ascii="Arial" w:eastAsia="Times New Roman" w:hAnsi="Arial" w:cs="Arial"/>
          <w:color w:val="00002E"/>
          <w:kern w:val="0"/>
          <w:sz w:val="24"/>
          <w:szCs w:val="24"/>
          <w:lang w:eastAsia="pl-PL"/>
          <w14:ligatures w14:val="none"/>
        </w:rPr>
        <w:t> oraz inne inicjatywy Komisji wspierające zatrudnienie młodzieży.</w:t>
      </w:r>
    </w:p>
    <w:p w14:paraId="0F1712C3" w14:textId="77777777" w:rsidR="0087653C" w:rsidRDefault="0087653C" w:rsidP="000E4A3F">
      <w:pPr>
        <w:spacing w:before="120" w:after="120" w:line="240" w:lineRule="auto"/>
        <w:rPr>
          <w:sz w:val="24"/>
          <w:szCs w:val="24"/>
        </w:rPr>
      </w:pPr>
    </w:p>
    <w:p w14:paraId="033768FB" w14:textId="77777777" w:rsidR="000E4A3F" w:rsidRDefault="000E4A3F" w:rsidP="000E4A3F">
      <w:pPr>
        <w:spacing w:before="120" w:after="120" w:line="240" w:lineRule="auto"/>
        <w:rPr>
          <w:sz w:val="24"/>
          <w:szCs w:val="24"/>
        </w:rPr>
      </w:pPr>
      <w:r w:rsidRPr="000E4A3F">
        <w:rPr>
          <w:sz w:val="24"/>
          <w:szCs w:val="24"/>
        </w:rPr>
        <w:t>https://eur-lex.europa.eu/legal-content/PL/TXT/PDF/?uri=CELEX:52024PC0132</w:t>
      </w:r>
    </w:p>
    <w:p w14:paraId="7FC32A1D" w14:textId="77777777" w:rsidR="000E4A3F" w:rsidRDefault="000E6959" w:rsidP="000E4A3F">
      <w:pPr>
        <w:spacing w:before="120" w:after="120" w:line="240" w:lineRule="auto"/>
        <w:rPr>
          <w:sz w:val="24"/>
          <w:szCs w:val="24"/>
        </w:rPr>
      </w:pPr>
      <w:hyperlink r:id="rId43" w:history="1">
        <w:r w:rsidR="00DF2328" w:rsidRPr="00032485">
          <w:rPr>
            <w:rStyle w:val="Hipercze"/>
            <w:sz w:val="24"/>
            <w:szCs w:val="24"/>
          </w:rPr>
          <w:t>https://eur-lex.europa.eu/legal-content/PL/TXT/PDF/?uri=CELEX:52024DC0133</w:t>
        </w:r>
      </w:hyperlink>
    </w:p>
    <w:p w14:paraId="7D339EEF" w14:textId="77777777" w:rsidR="00DF2328" w:rsidRDefault="00DF2328" w:rsidP="000E4A3F">
      <w:pPr>
        <w:spacing w:before="120" w:after="120" w:line="240" w:lineRule="auto"/>
        <w:rPr>
          <w:sz w:val="24"/>
          <w:szCs w:val="24"/>
        </w:rPr>
      </w:pPr>
    </w:p>
    <w:p w14:paraId="40652618" w14:textId="77777777" w:rsidR="00DF2328" w:rsidRPr="000E6959" w:rsidRDefault="00DF2328">
      <w:pPr>
        <w:rPr>
          <w:b/>
          <w:noProof/>
        </w:rPr>
      </w:pPr>
      <w:r w:rsidRPr="000E6959">
        <w:rPr>
          <w:b/>
          <w:noProof/>
        </w:rPr>
        <w:br w:type="page"/>
      </w:r>
    </w:p>
    <w:p w14:paraId="03733685" w14:textId="77777777" w:rsidR="00DF2328" w:rsidRPr="000E6959" w:rsidRDefault="00DF2328" w:rsidP="00DF2328">
      <w:pPr>
        <w:jc w:val="center"/>
        <w:rPr>
          <w:b/>
          <w:noProof/>
        </w:rPr>
      </w:pPr>
      <w:r w:rsidRPr="000E6959">
        <w:rPr>
          <w:b/>
          <w:noProof/>
        </w:rPr>
        <w:lastRenderedPageBreak/>
        <w:t>https://eur-lex.europa.eu/legal-content/EN/TXT/?qid=1477901513625&amp;uri=CELEX:52016SC0324</w:t>
      </w:r>
    </w:p>
    <w:p w14:paraId="75FF50F3" w14:textId="77777777" w:rsidR="00DF2328" w:rsidRPr="00DF2328" w:rsidRDefault="00DF2328" w:rsidP="00DF2328">
      <w:pPr>
        <w:jc w:val="center"/>
        <w:rPr>
          <w:b/>
          <w:noProof/>
          <w:lang w:val="en-US"/>
        </w:rPr>
      </w:pPr>
      <w:r w:rsidRPr="00DF2328">
        <w:rPr>
          <w:b/>
          <w:noProof/>
          <w:lang w:val="en-US"/>
        </w:rPr>
        <w:t>Country fiche POLAND</w:t>
      </w:r>
    </w:p>
    <w:p w14:paraId="5ED162CD" w14:textId="77777777" w:rsidR="00DF2328" w:rsidRPr="00DF2328" w:rsidRDefault="00DF2328" w:rsidP="00DF2328">
      <w:pPr>
        <w:jc w:val="center"/>
        <w:rPr>
          <w:b/>
          <w:noProof/>
          <w:lang w:val="en-US"/>
        </w:rPr>
      </w:pPr>
    </w:p>
    <w:p w14:paraId="21C83B4D" w14:textId="77777777" w:rsidR="00DF2328" w:rsidRPr="00DF2328" w:rsidRDefault="00DF2328" w:rsidP="00DF2328">
      <w:pPr>
        <w:jc w:val="center"/>
        <w:rPr>
          <w:b/>
          <w:noProof/>
          <w:lang w:val="en-US"/>
        </w:rPr>
      </w:pPr>
      <w:r w:rsidRPr="00DF2328">
        <w:rPr>
          <w:b/>
          <w:noProof/>
          <w:lang w:val="en-US"/>
        </w:rPr>
        <w:t>Implementation of the Council Recommendation on a Quality Framework for Traineeships (2014/C 88/01)</w:t>
      </w:r>
    </w:p>
    <w:p w14:paraId="1997B0DF" w14:textId="77777777" w:rsidR="00DF2328" w:rsidRPr="00DF2328" w:rsidRDefault="00DF2328" w:rsidP="00DF2328">
      <w:pPr>
        <w:jc w:val="center"/>
        <w:rPr>
          <w:b/>
          <w:noProof/>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F2328" w:rsidRPr="000E6959" w14:paraId="5FDE6914" w14:textId="77777777" w:rsidTr="00DF2328">
        <w:tc>
          <w:tcPr>
            <w:tcW w:w="9288" w:type="dxa"/>
            <w:tcBorders>
              <w:top w:val="single" w:sz="4" w:space="0" w:color="auto"/>
              <w:left w:val="single" w:sz="4" w:space="0" w:color="auto"/>
              <w:bottom w:val="single" w:sz="4" w:space="0" w:color="auto"/>
              <w:right w:val="single" w:sz="4" w:space="0" w:color="auto"/>
            </w:tcBorders>
          </w:tcPr>
          <w:p w14:paraId="6B6921D1" w14:textId="77777777" w:rsidR="00DF2328" w:rsidRPr="00DF2328" w:rsidRDefault="00DF2328">
            <w:pPr>
              <w:rPr>
                <w:b/>
                <w:noProof/>
                <w:lang w:val="en-US"/>
              </w:rPr>
            </w:pPr>
            <w:r w:rsidRPr="00DF2328">
              <w:rPr>
                <w:b/>
                <w:noProof/>
                <w:lang w:val="en-US"/>
              </w:rPr>
              <w:t>General description</w:t>
            </w:r>
          </w:p>
          <w:p w14:paraId="3B4341B7" w14:textId="77777777" w:rsidR="00DF2328" w:rsidRPr="00DF2328" w:rsidRDefault="00DF2328">
            <w:pPr>
              <w:rPr>
                <w:noProof/>
                <w:lang w:val="en-US"/>
              </w:rPr>
            </w:pPr>
          </w:p>
          <w:p w14:paraId="1E3CEDD0" w14:textId="77777777" w:rsidR="00DF2328" w:rsidRPr="00DF2328" w:rsidRDefault="00DF2328">
            <w:pPr>
              <w:jc w:val="both"/>
              <w:rPr>
                <w:noProof/>
                <w:lang w:val="en-US"/>
              </w:rPr>
            </w:pPr>
            <w:r w:rsidRPr="00DF2328">
              <w:rPr>
                <w:noProof/>
                <w:lang w:val="en-US"/>
              </w:rPr>
              <w:t>The Act of 17 July 2009 on postgraduate internships (Journal of Laws No 127, item 1052) shows partial compliance with the QFT. Although a proposal was submitted in August 2015 to the Sejm (Parliament) by deputies of the (then) governing PO to amend the above Act so that it fully complies with the QFT, this legal proposal was put on hold after the elections in October 2015.</w:t>
            </w:r>
          </w:p>
          <w:p w14:paraId="227C005B" w14:textId="77777777" w:rsidR="00DF2328" w:rsidRPr="00DF2328" w:rsidRDefault="00DF2328">
            <w:pPr>
              <w:jc w:val="both"/>
              <w:rPr>
                <w:b/>
                <w:noProof/>
                <w:lang w:val="en-US"/>
              </w:rPr>
            </w:pPr>
            <w:r w:rsidRPr="00DF2328">
              <w:rPr>
                <w:b/>
                <w:noProof/>
                <w:lang w:val="en-US"/>
              </w:rPr>
              <w:t>Open market traineeships</w:t>
            </w:r>
          </w:p>
          <w:p w14:paraId="0A267AF4" w14:textId="77777777" w:rsidR="00DF2328" w:rsidRPr="00DF2328" w:rsidRDefault="00DF2328">
            <w:pPr>
              <w:jc w:val="both"/>
              <w:rPr>
                <w:noProof/>
                <w:lang w:val="en-US"/>
              </w:rPr>
            </w:pPr>
            <w:r w:rsidRPr="00DF2328">
              <w:rPr>
                <w:noProof/>
                <w:lang w:val="en-US"/>
              </w:rPr>
              <w:t>Current legislation on open market traineeships foresees a written agreement that should include the tasks of the trainee, the duration, weekly working time, financial benefits (if any). The legislation does not require the definition of learning objectives, and there is no obligation to appoint a mentor/supervisor. While in terms of working conditions the QFT requirements are mostly respected, health insurance and remuneration are not compulsory; consequently, a large proportion of the traineeships are performed unpaid. Transparency on financial conditions is respected, but not on hiring chances. The duration of open market traineeships is limited to 3 months, but conditions for an extension are not defined.</w:t>
            </w:r>
          </w:p>
          <w:p w14:paraId="01479898" w14:textId="77777777" w:rsidR="00DF2328" w:rsidRPr="00DF2328" w:rsidRDefault="00DF2328">
            <w:pPr>
              <w:jc w:val="both"/>
              <w:rPr>
                <w:b/>
                <w:noProof/>
                <w:lang w:val="en-US"/>
              </w:rPr>
            </w:pPr>
            <w:r w:rsidRPr="00DF2328">
              <w:rPr>
                <w:b/>
                <w:noProof/>
                <w:lang w:val="en-US"/>
              </w:rPr>
              <w:t>ALMP-type traineeships</w:t>
            </w:r>
          </w:p>
          <w:p w14:paraId="32B5AA4E" w14:textId="77777777" w:rsidR="00DF2328" w:rsidRPr="00DF2328" w:rsidRDefault="00DF2328">
            <w:pPr>
              <w:jc w:val="both"/>
              <w:rPr>
                <w:noProof/>
                <w:lang w:val="en-US"/>
              </w:rPr>
            </w:pPr>
            <w:r w:rsidRPr="00DF2328">
              <w:rPr>
                <w:noProof/>
                <w:lang w:val="en-US"/>
              </w:rPr>
              <w:t>A written agreement is also required for ALMP-type traineeships. The agreement shall include the programme of the traineeship, but provisions on the learning content apply only to certain ALMP-type traineeships (those within the POWER programme, funded by ESF). ALMP-type traineeships also foresee a mentor/supervisor. QFT recommendations on working conditions and transparency are largely respected, except transparency on hiring chances. Duration of ALMP-type traineeships can be between 3 and 6 months.</w:t>
            </w:r>
          </w:p>
          <w:p w14:paraId="7E5336D1" w14:textId="77777777" w:rsidR="00DF2328" w:rsidRPr="00DF2328" w:rsidRDefault="00DF2328">
            <w:pPr>
              <w:jc w:val="both"/>
              <w:rPr>
                <w:b/>
                <w:noProof/>
              </w:rPr>
            </w:pPr>
            <w:r>
              <w:rPr>
                <w:b/>
                <w:noProof/>
              </w:rPr>
              <w:t>Remaining challenges</w:t>
            </w:r>
          </w:p>
          <w:p w14:paraId="596AFC61" w14:textId="77777777" w:rsidR="00DF2328" w:rsidRDefault="00DF2328" w:rsidP="00DF2328">
            <w:pPr>
              <w:pStyle w:val="Akapitzlist"/>
              <w:numPr>
                <w:ilvl w:val="0"/>
                <w:numId w:val="12"/>
              </w:numPr>
              <w:jc w:val="both"/>
              <w:rPr>
                <w:noProof/>
              </w:rPr>
            </w:pPr>
            <w:r>
              <w:rPr>
                <w:noProof/>
              </w:rPr>
              <w:t>No requirement to define learning content and to appoint a mentor/supervisor in the case of open market traineeships;</w:t>
            </w:r>
          </w:p>
          <w:p w14:paraId="7860EEA0" w14:textId="77777777" w:rsidR="00DF2328" w:rsidRDefault="00DF2328" w:rsidP="00DF2328">
            <w:pPr>
              <w:pStyle w:val="Akapitzlist"/>
              <w:numPr>
                <w:ilvl w:val="0"/>
                <w:numId w:val="12"/>
              </w:numPr>
              <w:jc w:val="both"/>
              <w:rPr>
                <w:noProof/>
              </w:rPr>
            </w:pPr>
            <w:r>
              <w:rPr>
                <w:noProof/>
              </w:rPr>
              <w:t>Conditions for an extension are not defined;</w:t>
            </w:r>
          </w:p>
          <w:p w14:paraId="39AF64B7" w14:textId="77777777" w:rsidR="00DF2328" w:rsidRDefault="00DF2328" w:rsidP="00DF2328">
            <w:pPr>
              <w:pStyle w:val="Akapitzlist"/>
              <w:numPr>
                <w:ilvl w:val="0"/>
                <w:numId w:val="12"/>
              </w:numPr>
              <w:jc w:val="both"/>
              <w:rPr>
                <w:noProof/>
              </w:rPr>
            </w:pPr>
            <w:r>
              <w:rPr>
                <w:noProof/>
              </w:rPr>
              <w:t>Lack of transparency on hiring chances.</w:t>
            </w:r>
          </w:p>
          <w:p w14:paraId="18B78C3C" w14:textId="77777777" w:rsidR="00DF2328" w:rsidRDefault="00DF2328">
            <w:pPr>
              <w:pStyle w:val="Akapitzlist"/>
              <w:jc w:val="both"/>
              <w:rPr>
                <w:noProof/>
              </w:rPr>
            </w:pPr>
          </w:p>
          <w:p w14:paraId="548BA5C6" w14:textId="77777777" w:rsidR="00DF2328" w:rsidRPr="00DF2328" w:rsidRDefault="00DF2328">
            <w:pPr>
              <w:jc w:val="both"/>
              <w:rPr>
                <w:noProof/>
                <w:lang w:val="en-US"/>
              </w:rPr>
            </w:pPr>
            <w:r w:rsidRPr="00DF2328">
              <w:rPr>
                <w:noProof/>
                <w:lang w:val="en-US"/>
              </w:rPr>
              <w:t>Although the proposal for amendment of the 2009 Act on postgraduate traineeships was offering a solution to these problems, it is unlikely that the proposed amendment will pass in the current term, taking into consideration a significant change in the distribution of forces in parliament and change in government policy.</w:t>
            </w:r>
          </w:p>
          <w:p w14:paraId="0C637DD1" w14:textId="77777777" w:rsidR="00DF2328" w:rsidRPr="00DF2328" w:rsidRDefault="00DF2328">
            <w:pPr>
              <w:jc w:val="both"/>
              <w:rPr>
                <w:noProof/>
                <w:lang w:val="en-US"/>
              </w:rPr>
            </w:pPr>
          </w:p>
        </w:tc>
      </w:tr>
    </w:tbl>
    <w:p w14:paraId="72722045" w14:textId="77777777" w:rsidR="00DF2328" w:rsidRPr="00DF2328" w:rsidRDefault="00DF2328" w:rsidP="00DF2328">
      <w:pPr>
        <w:spacing w:after="120"/>
        <w:rPr>
          <w:b/>
          <w:noProof/>
          <w:lang w:val="en-US"/>
        </w:rPr>
      </w:pPr>
    </w:p>
    <w:p w14:paraId="1F4CE883" w14:textId="77777777" w:rsidR="00DF2328" w:rsidRPr="00DF2328" w:rsidRDefault="00DF2328" w:rsidP="00DF2328">
      <w:pPr>
        <w:spacing w:after="120"/>
        <w:rPr>
          <w:b/>
          <w:noProof/>
          <w:lang w:val="en-US"/>
        </w:rPr>
      </w:pPr>
      <w:r w:rsidRPr="00DF2328">
        <w:rPr>
          <w:b/>
          <w:noProof/>
          <w:lang w:val="en-US"/>
        </w:rPr>
        <w:lastRenderedPageBreak/>
        <w:t>Assessment of open market as well as ALMP-type traineeships in terms of compliance with QFT</w:t>
      </w:r>
    </w:p>
    <w:p w14:paraId="64809D5D" w14:textId="77777777" w:rsidR="00DF2328" w:rsidRPr="00DF2328" w:rsidRDefault="00DF2328" w:rsidP="00DF2328">
      <w:pPr>
        <w:spacing w:after="120"/>
        <w:rPr>
          <w:b/>
          <w:noProof/>
          <w:lang w:val="en-US"/>
        </w:rPr>
      </w:pPr>
    </w:p>
    <w:tbl>
      <w:tblPr>
        <w:tblW w:w="9500" w:type="dxa"/>
        <w:tblInd w:w="93" w:type="dxa"/>
        <w:tblLook w:val="04A0" w:firstRow="1" w:lastRow="0" w:firstColumn="1" w:lastColumn="0" w:noHBand="0" w:noVBand="1"/>
      </w:tblPr>
      <w:tblGrid>
        <w:gridCol w:w="4680"/>
        <w:gridCol w:w="2500"/>
        <w:gridCol w:w="2320"/>
      </w:tblGrid>
      <w:tr w:rsidR="00DF2328" w14:paraId="49A9BE0D" w14:textId="77777777" w:rsidTr="00DF2328">
        <w:trPr>
          <w:trHeight w:val="1200"/>
        </w:trPr>
        <w:tc>
          <w:tcPr>
            <w:tcW w:w="4680" w:type="dxa"/>
            <w:tcBorders>
              <w:top w:val="nil"/>
              <w:left w:val="nil"/>
              <w:bottom w:val="single" w:sz="4" w:space="0" w:color="auto"/>
              <w:right w:val="single" w:sz="4" w:space="0" w:color="auto"/>
            </w:tcBorders>
            <w:noWrap/>
            <w:vAlign w:val="bottom"/>
            <w:hideMark/>
          </w:tcPr>
          <w:p w14:paraId="3521E655" w14:textId="77777777" w:rsidR="00DF2328" w:rsidRPr="00DF2328" w:rsidRDefault="00DF2328">
            <w:pPr>
              <w:rPr>
                <w:b/>
                <w:noProof/>
                <w:lang w:val="en-US"/>
              </w:rPr>
            </w:pPr>
          </w:p>
        </w:tc>
        <w:tc>
          <w:tcPr>
            <w:tcW w:w="2500" w:type="dxa"/>
            <w:tcBorders>
              <w:top w:val="single" w:sz="4" w:space="0" w:color="auto"/>
              <w:left w:val="single" w:sz="4" w:space="0" w:color="auto"/>
              <w:bottom w:val="single" w:sz="4" w:space="0" w:color="auto"/>
              <w:right w:val="single" w:sz="6" w:space="0" w:color="auto"/>
            </w:tcBorders>
            <w:shd w:val="clear" w:color="auto" w:fill="4F81BD"/>
            <w:vAlign w:val="bottom"/>
            <w:hideMark/>
          </w:tcPr>
          <w:p w14:paraId="708E13C8" w14:textId="77777777" w:rsidR="00DF2328" w:rsidRDefault="00DF2328">
            <w:pPr>
              <w:jc w:val="center"/>
              <w:rPr>
                <w:b/>
                <w:bCs/>
                <w:noProof/>
                <w:color w:val="FFFFFF"/>
                <w:lang w:val="en-GB" w:eastAsia="en-GB"/>
              </w:rPr>
            </w:pPr>
            <w:r>
              <w:rPr>
                <w:b/>
                <w:bCs/>
                <w:noProof/>
                <w:color w:val="FFFFFF"/>
              </w:rPr>
              <w:t>Open market traineeships</w:t>
            </w:r>
          </w:p>
        </w:tc>
        <w:tc>
          <w:tcPr>
            <w:tcW w:w="2320" w:type="dxa"/>
            <w:tcBorders>
              <w:top w:val="single" w:sz="4" w:space="0" w:color="auto"/>
              <w:left w:val="single" w:sz="6" w:space="0" w:color="auto"/>
              <w:bottom w:val="single" w:sz="4" w:space="0" w:color="auto"/>
              <w:right w:val="single" w:sz="4" w:space="0" w:color="auto"/>
            </w:tcBorders>
            <w:shd w:val="clear" w:color="auto" w:fill="4F81BD"/>
            <w:vAlign w:val="bottom"/>
            <w:hideMark/>
          </w:tcPr>
          <w:p w14:paraId="1599D5BF" w14:textId="77777777" w:rsidR="00DF2328" w:rsidRDefault="00DF2328">
            <w:pPr>
              <w:jc w:val="center"/>
              <w:rPr>
                <w:b/>
                <w:bCs/>
                <w:noProof/>
                <w:color w:val="FFFFFF"/>
              </w:rPr>
            </w:pPr>
            <w:r>
              <w:rPr>
                <w:b/>
                <w:bCs/>
                <w:noProof/>
                <w:color w:val="FFFFFF"/>
              </w:rPr>
              <w:t>ALMP-type traineeships</w:t>
            </w:r>
          </w:p>
        </w:tc>
      </w:tr>
      <w:tr w:rsidR="00DF2328" w14:paraId="32D07B4F" w14:textId="77777777" w:rsidTr="00DF2328">
        <w:trPr>
          <w:trHeight w:val="300"/>
        </w:trPr>
        <w:tc>
          <w:tcPr>
            <w:tcW w:w="4680" w:type="dxa"/>
            <w:tcBorders>
              <w:top w:val="single" w:sz="4" w:space="0" w:color="auto"/>
              <w:left w:val="single" w:sz="4" w:space="0" w:color="auto"/>
              <w:bottom w:val="single" w:sz="6" w:space="0" w:color="auto"/>
              <w:right w:val="single" w:sz="6" w:space="0" w:color="auto"/>
            </w:tcBorders>
            <w:shd w:val="clear" w:color="auto" w:fill="95B3D7"/>
            <w:noWrap/>
            <w:vAlign w:val="bottom"/>
            <w:hideMark/>
          </w:tcPr>
          <w:p w14:paraId="0FECE55F" w14:textId="77777777" w:rsidR="00DF2328" w:rsidRDefault="00DF2328">
            <w:pPr>
              <w:rPr>
                <w:b/>
                <w:bCs/>
                <w:noProof/>
                <w:color w:val="FFFFFF"/>
              </w:rPr>
            </w:pPr>
            <w:r>
              <w:rPr>
                <w:b/>
                <w:bCs/>
                <w:noProof/>
                <w:color w:val="FFFFFF"/>
              </w:rPr>
              <w:t>Written traineeship agreement</w:t>
            </w:r>
          </w:p>
        </w:tc>
        <w:tc>
          <w:tcPr>
            <w:tcW w:w="2500" w:type="dxa"/>
            <w:tcBorders>
              <w:top w:val="single" w:sz="4" w:space="0" w:color="auto"/>
              <w:left w:val="single" w:sz="6" w:space="0" w:color="auto"/>
              <w:bottom w:val="single" w:sz="6" w:space="0" w:color="auto"/>
              <w:right w:val="single" w:sz="6" w:space="0" w:color="auto"/>
            </w:tcBorders>
            <w:shd w:val="clear" w:color="auto" w:fill="95B3D7"/>
            <w:noWrap/>
            <w:vAlign w:val="bottom"/>
            <w:hideMark/>
          </w:tcPr>
          <w:p w14:paraId="0E282F87" w14:textId="77777777" w:rsidR="00DF2328" w:rsidRDefault="00DF2328">
            <w:pPr>
              <w:rPr>
                <w:noProof/>
                <w:color w:val="FFFFFF"/>
              </w:rPr>
            </w:pPr>
            <w:r>
              <w:rPr>
                <w:noProof/>
                <w:color w:val="FFFFFF"/>
              </w:rPr>
              <w:t> </w:t>
            </w:r>
          </w:p>
        </w:tc>
        <w:tc>
          <w:tcPr>
            <w:tcW w:w="2320" w:type="dxa"/>
            <w:tcBorders>
              <w:top w:val="single" w:sz="4" w:space="0" w:color="auto"/>
              <w:left w:val="single" w:sz="6" w:space="0" w:color="auto"/>
              <w:bottom w:val="single" w:sz="6" w:space="0" w:color="auto"/>
              <w:right w:val="single" w:sz="4" w:space="0" w:color="auto"/>
            </w:tcBorders>
            <w:shd w:val="clear" w:color="auto" w:fill="95B3D7"/>
            <w:noWrap/>
            <w:vAlign w:val="bottom"/>
            <w:hideMark/>
          </w:tcPr>
          <w:p w14:paraId="36B4027E" w14:textId="77777777" w:rsidR="00DF2328" w:rsidRDefault="00DF2328">
            <w:pPr>
              <w:rPr>
                <w:noProof/>
                <w:color w:val="FFFFFF"/>
              </w:rPr>
            </w:pPr>
            <w:r>
              <w:rPr>
                <w:noProof/>
                <w:color w:val="FFFFFF"/>
              </w:rPr>
              <w:t> </w:t>
            </w:r>
          </w:p>
        </w:tc>
      </w:tr>
      <w:tr w:rsidR="00DF2328" w14:paraId="2DB685EC"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03174FE2" w14:textId="77777777" w:rsidR="00DF2328" w:rsidRDefault="00DF2328">
            <w:pPr>
              <w:rPr>
                <w:noProof/>
                <w:color w:val="000000"/>
              </w:rPr>
            </w:pPr>
            <w:r>
              <w:rPr>
                <w:noProof/>
                <w:color w:val="000000"/>
              </w:rPr>
              <w:t>Written traineeship agreement concluded</w:t>
            </w:r>
          </w:p>
        </w:tc>
        <w:tc>
          <w:tcPr>
            <w:tcW w:w="2500" w:type="dxa"/>
            <w:tcBorders>
              <w:top w:val="single" w:sz="6" w:space="0" w:color="auto"/>
              <w:left w:val="single" w:sz="6" w:space="0" w:color="auto"/>
              <w:bottom w:val="single" w:sz="6" w:space="0" w:color="auto"/>
              <w:right w:val="single" w:sz="6" w:space="0" w:color="auto"/>
            </w:tcBorders>
            <w:shd w:val="clear" w:color="auto" w:fill="00B050"/>
            <w:noWrap/>
            <w:vAlign w:val="bottom"/>
            <w:hideMark/>
          </w:tcPr>
          <w:p w14:paraId="30603DD6"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7730FF13" w14:textId="77777777" w:rsidR="00DF2328" w:rsidRDefault="00DF2328">
            <w:pPr>
              <w:rPr>
                <w:noProof/>
                <w:color w:val="000000"/>
              </w:rPr>
            </w:pPr>
            <w:r>
              <w:rPr>
                <w:noProof/>
                <w:color w:val="000000"/>
              </w:rPr>
              <w:t> </w:t>
            </w:r>
          </w:p>
        </w:tc>
      </w:tr>
      <w:tr w:rsidR="00DF2328" w14:paraId="6205537C"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95B3D7"/>
            <w:noWrap/>
            <w:vAlign w:val="bottom"/>
            <w:hideMark/>
          </w:tcPr>
          <w:p w14:paraId="4E3C78B0" w14:textId="77777777" w:rsidR="00DF2328" w:rsidRDefault="00DF2328">
            <w:pPr>
              <w:rPr>
                <w:b/>
                <w:bCs/>
                <w:noProof/>
                <w:color w:val="FFFFFF"/>
              </w:rPr>
            </w:pPr>
            <w:r>
              <w:rPr>
                <w:b/>
                <w:bCs/>
                <w:noProof/>
                <w:color w:val="FFFFFF"/>
              </w:rPr>
              <w:t>Learning and training objectives</w:t>
            </w:r>
          </w:p>
        </w:tc>
        <w:tc>
          <w:tcPr>
            <w:tcW w:w="2500" w:type="dxa"/>
            <w:tcBorders>
              <w:top w:val="single" w:sz="6" w:space="0" w:color="auto"/>
              <w:left w:val="single" w:sz="6" w:space="0" w:color="auto"/>
              <w:bottom w:val="single" w:sz="6" w:space="0" w:color="auto"/>
              <w:right w:val="single" w:sz="6" w:space="0" w:color="auto"/>
            </w:tcBorders>
            <w:shd w:val="clear" w:color="auto" w:fill="95B3D7"/>
            <w:noWrap/>
            <w:vAlign w:val="bottom"/>
            <w:hideMark/>
          </w:tcPr>
          <w:p w14:paraId="00EEDC7F" w14:textId="77777777" w:rsidR="00DF2328" w:rsidRDefault="00DF2328">
            <w:pPr>
              <w:rPr>
                <w:noProof/>
                <w:color w:val="FFFFFF"/>
              </w:rPr>
            </w:pPr>
            <w:r>
              <w:rPr>
                <w:noProof/>
                <w:color w:val="FFFFFF"/>
              </w:rPr>
              <w:t> </w:t>
            </w:r>
          </w:p>
        </w:tc>
        <w:tc>
          <w:tcPr>
            <w:tcW w:w="2320" w:type="dxa"/>
            <w:tcBorders>
              <w:top w:val="single" w:sz="6" w:space="0" w:color="auto"/>
              <w:left w:val="single" w:sz="6" w:space="0" w:color="auto"/>
              <w:bottom w:val="single" w:sz="6" w:space="0" w:color="auto"/>
              <w:right w:val="single" w:sz="4" w:space="0" w:color="auto"/>
            </w:tcBorders>
            <w:shd w:val="clear" w:color="auto" w:fill="95B3D7"/>
            <w:noWrap/>
            <w:vAlign w:val="bottom"/>
            <w:hideMark/>
          </w:tcPr>
          <w:p w14:paraId="668D9E78" w14:textId="77777777" w:rsidR="00DF2328" w:rsidRDefault="00DF2328">
            <w:pPr>
              <w:rPr>
                <w:noProof/>
                <w:color w:val="FFFFFF"/>
              </w:rPr>
            </w:pPr>
            <w:r>
              <w:rPr>
                <w:noProof/>
                <w:color w:val="FFFFFF"/>
              </w:rPr>
              <w:t> </w:t>
            </w:r>
          </w:p>
        </w:tc>
      </w:tr>
      <w:tr w:rsidR="00DF2328" w14:paraId="172D8555"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0160A4F3" w14:textId="77777777" w:rsidR="00DF2328" w:rsidRDefault="00DF2328">
            <w:pPr>
              <w:rPr>
                <w:noProof/>
                <w:color w:val="000000"/>
              </w:rPr>
            </w:pPr>
            <w:r>
              <w:rPr>
                <w:noProof/>
                <w:color w:val="000000"/>
              </w:rPr>
              <w:t>Objectives clarified</w:t>
            </w:r>
          </w:p>
        </w:tc>
        <w:tc>
          <w:tcPr>
            <w:tcW w:w="2500" w:type="dxa"/>
            <w:tcBorders>
              <w:top w:val="single" w:sz="6" w:space="0" w:color="auto"/>
              <w:left w:val="single" w:sz="6" w:space="0" w:color="auto"/>
              <w:bottom w:val="single" w:sz="6" w:space="0" w:color="auto"/>
              <w:right w:val="single" w:sz="6" w:space="0" w:color="auto"/>
            </w:tcBorders>
            <w:shd w:val="clear" w:color="auto" w:fill="FF0000"/>
            <w:noWrap/>
            <w:vAlign w:val="bottom"/>
            <w:hideMark/>
          </w:tcPr>
          <w:p w14:paraId="73A4BD24"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FFC000"/>
            <w:noWrap/>
            <w:vAlign w:val="bottom"/>
            <w:hideMark/>
          </w:tcPr>
          <w:p w14:paraId="11F8F722" w14:textId="77777777" w:rsidR="00DF2328" w:rsidRDefault="00DF2328">
            <w:pPr>
              <w:rPr>
                <w:noProof/>
                <w:color w:val="000000"/>
              </w:rPr>
            </w:pPr>
            <w:r>
              <w:rPr>
                <w:noProof/>
                <w:color w:val="000000"/>
              </w:rPr>
              <w:t> </w:t>
            </w:r>
          </w:p>
        </w:tc>
      </w:tr>
      <w:tr w:rsidR="00DF2328" w14:paraId="7DADDA65"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4860C746" w14:textId="77777777" w:rsidR="00DF2328" w:rsidRDefault="00DF2328">
            <w:pPr>
              <w:rPr>
                <w:noProof/>
                <w:color w:val="000000"/>
              </w:rPr>
            </w:pPr>
            <w:r>
              <w:rPr>
                <w:noProof/>
                <w:color w:val="000000"/>
              </w:rPr>
              <w:t>Mentor/supervisor assigned</w:t>
            </w:r>
          </w:p>
        </w:tc>
        <w:tc>
          <w:tcPr>
            <w:tcW w:w="2500" w:type="dxa"/>
            <w:tcBorders>
              <w:top w:val="single" w:sz="6" w:space="0" w:color="auto"/>
              <w:left w:val="single" w:sz="6" w:space="0" w:color="auto"/>
              <w:bottom w:val="single" w:sz="6" w:space="0" w:color="auto"/>
              <w:right w:val="single" w:sz="6" w:space="0" w:color="auto"/>
            </w:tcBorders>
            <w:shd w:val="clear" w:color="auto" w:fill="FF0000"/>
            <w:noWrap/>
            <w:vAlign w:val="bottom"/>
            <w:hideMark/>
          </w:tcPr>
          <w:p w14:paraId="43C9A784"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2A2C39B0" w14:textId="77777777" w:rsidR="00DF2328" w:rsidRDefault="00DF2328">
            <w:pPr>
              <w:rPr>
                <w:noProof/>
                <w:color w:val="000000"/>
              </w:rPr>
            </w:pPr>
            <w:r>
              <w:rPr>
                <w:noProof/>
                <w:color w:val="000000"/>
              </w:rPr>
              <w:t> </w:t>
            </w:r>
          </w:p>
        </w:tc>
      </w:tr>
      <w:tr w:rsidR="00DF2328" w:rsidRPr="000E6959" w14:paraId="6C6E4F93"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95B3D7"/>
            <w:noWrap/>
            <w:vAlign w:val="bottom"/>
            <w:hideMark/>
          </w:tcPr>
          <w:p w14:paraId="11A03D25" w14:textId="77777777" w:rsidR="00DF2328" w:rsidRPr="00DF2328" w:rsidRDefault="00DF2328">
            <w:pPr>
              <w:rPr>
                <w:b/>
                <w:bCs/>
                <w:noProof/>
                <w:color w:val="FFFFFF"/>
                <w:lang w:val="en-US"/>
              </w:rPr>
            </w:pPr>
            <w:r w:rsidRPr="00DF2328">
              <w:rPr>
                <w:b/>
                <w:bCs/>
                <w:noProof/>
                <w:color w:val="FFFFFF"/>
                <w:lang w:val="en-US"/>
              </w:rPr>
              <w:t>Working conditions applicable to trainees</w:t>
            </w:r>
          </w:p>
        </w:tc>
        <w:tc>
          <w:tcPr>
            <w:tcW w:w="2500" w:type="dxa"/>
            <w:tcBorders>
              <w:top w:val="single" w:sz="6" w:space="0" w:color="auto"/>
              <w:left w:val="single" w:sz="6" w:space="0" w:color="auto"/>
              <w:bottom w:val="single" w:sz="6" w:space="0" w:color="auto"/>
              <w:right w:val="single" w:sz="6" w:space="0" w:color="auto"/>
            </w:tcBorders>
            <w:shd w:val="clear" w:color="auto" w:fill="95B3D7"/>
            <w:noWrap/>
            <w:vAlign w:val="bottom"/>
            <w:hideMark/>
          </w:tcPr>
          <w:p w14:paraId="4B567002" w14:textId="77777777" w:rsidR="00DF2328" w:rsidRPr="00DF2328" w:rsidRDefault="00DF2328">
            <w:pPr>
              <w:rPr>
                <w:noProof/>
                <w:color w:val="FFFFFF"/>
                <w:lang w:val="en-US"/>
              </w:rPr>
            </w:pPr>
            <w:r w:rsidRPr="00DF2328">
              <w:rPr>
                <w:noProof/>
                <w:color w:val="FFFFFF"/>
                <w:lang w:val="en-US"/>
              </w:rPr>
              <w:t> </w:t>
            </w:r>
          </w:p>
        </w:tc>
        <w:tc>
          <w:tcPr>
            <w:tcW w:w="2320" w:type="dxa"/>
            <w:tcBorders>
              <w:top w:val="single" w:sz="6" w:space="0" w:color="auto"/>
              <w:left w:val="single" w:sz="6" w:space="0" w:color="auto"/>
              <w:bottom w:val="single" w:sz="6" w:space="0" w:color="auto"/>
              <w:right w:val="single" w:sz="4" w:space="0" w:color="auto"/>
            </w:tcBorders>
            <w:shd w:val="clear" w:color="auto" w:fill="95B3D7"/>
            <w:noWrap/>
            <w:vAlign w:val="bottom"/>
            <w:hideMark/>
          </w:tcPr>
          <w:p w14:paraId="4E13E613" w14:textId="77777777" w:rsidR="00DF2328" w:rsidRPr="00DF2328" w:rsidRDefault="00DF2328">
            <w:pPr>
              <w:rPr>
                <w:noProof/>
                <w:color w:val="FFFFFF"/>
                <w:lang w:val="en-US"/>
              </w:rPr>
            </w:pPr>
            <w:r w:rsidRPr="00DF2328">
              <w:rPr>
                <w:noProof/>
                <w:color w:val="FFFFFF"/>
                <w:lang w:val="en-US"/>
              </w:rPr>
              <w:t> </w:t>
            </w:r>
          </w:p>
        </w:tc>
      </w:tr>
      <w:tr w:rsidR="00DF2328" w:rsidRPr="000E6959" w14:paraId="698A2EE0"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5EEFB116" w14:textId="77777777" w:rsidR="00DF2328" w:rsidRPr="00DF2328" w:rsidRDefault="00DF2328">
            <w:pPr>
              <w:rPr>
                <w:noProof/>
                <w:color w:val="000000"/>
                <w:lang w:val="en-US"/>
              </w:rPr>
            </w:pPr>
            <w:r w:rsidRPr="00DF2328">
              <w:rPr>
                <w:noProof/>
                <w:color w:val="000000"/>
                <w:lang w:val="en-US"/>
              </w:rPr>
              <w:t>Health/accident insurance and sick leave clarified</w:t>
            </w:r>
          </w:p>
        </w:tc>
        <w:tc>
          <w:tcPr>
            <w:tcW w:w="2500" w:type="dxa"/>
            <w:tcBorders>
              <w:top w:val="single" w:sz="6" w:space="0" w:color="auto"/>
              <w:left w:val="single" w:sz="6" w:space="0" w:color="auto"/>
              <w:bottom w:val="single" w:sz="6" w:space="0" w:color="auto"/>
              <w:right w:val="single" w:sz="6" w:space="0" w:color="auto"/>
            </w:tcBorders>
            <w:shd w:val="clear" w:color="auto" w:fill="00B050"/>
            <w:noWrap/>
            <w:vAlign w:val="bottom"/>
            <w:hideMark/>
          </w:tcPr>
          <w:p w14:paraId="2C698E68" w14:textId="77777777" w:rsidR="00DF2328" w:rsidRPr="00DF2328" w:rsidRDefault="00DF2328">
            <w:pPr>
              <w:rPr>
                <w:noProof/>
                <w:color w:val="000000"/>
                <w:lang w:val="en-US"/>
              </w:rPr>
            </w:pPr>
            <w:r w:rsidRPr="00DF2328">
              <w:rPr>
                <w:noProof/>
                <w:color w:val="000000"/>
                <w:lang w:val="en-US"/>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6888F775" w14:textId="77777777" w:rsidR="00DF2328" w:rsidRPr="00DF2328" w:rsidRDefault="00DF2328">
            <w:pPr>
              <w:rPr>
                <w:noProof/>
                <w:color w:val="000000"/>
                <w:lang w:val="en-US"/>
              </w:rPr>
            </w:pPr>
            <w:r w:rsidRPr="00DF2328">
              <w:rPr>
                <w:noProof/>
                <w:color w:val="000000"/>
                <w:lang w:val="en-US"/>
              </w:rPr>
              <w:t> </w:t>
            </w:r>
          </w:p>
        </w:tc>
      </w:tr>
      <w:tr w:rsidR="00DF2328" w:rsidRPr="000E6959" w14:paraId="01EC67C3"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75352C60" w14:textId="77777777" w:rsidR="00DF2328" w:rsidRPr="00DF2328" w:rsidRDefault="00DF2328">
            <w:pPr>
              <w:rPr>
                <w:noProof/>
                <w:color w:val="000000"/>
                <w:lang w:val="en-US"/>
              </w:rPr>
            </w:pPr>
            <w:r w:rsidRPr="00DF2328">
              <w:rPr>
                <w:noProof/>
                <w:color w:val="000000"/>
                <w:lang w:val="en-US"/>
              </w:rPr>
              <w:t>Allowance/compensation and amount clarified</w:t>
            </w:r>
          </w:p>
        </w:tc>
        <w:tc>
          <w:tcPr>
            <w:tcW w:w="2500" w:type="dxa"/>
            <w:tcBorders>
              <w:top w:val="single" w:sz="6" w:space="0" w:color="auto"/>
              <w:left w:val="single" w:sz="6" w:space="0" w:color="auto"/>
              <w:bottom w:val="single" w:sz="6" w:space="0" w:color="auto"/>
              <w:right w:val="single" w:sz="6" w:space="0" w:color="auto"/>
            </w:tcBorders>
            <w:shd w:val="clear" w:color="auto" w:fill="FFC000"/>
            <w:noWrap/>
            <w:vAlign w:val="bottom"/>
            <w:hideMark/>
          </w:tcPr>
          <w:p w14:paraId="13F45963" w14:textId="77777777" w:rsidR="00DF2328" w:rsidRPr="00DF2328" w:rsidRDefault="00DF2328">
            <w:pPr>
              <w:rPr>
                <w:noProof/>
                <w:color w:val="000000"/>
                <w:lang w:val="en-US"/>
              </w:rPr>
            </w:pPr>
            <w:r w:rsidRPr="00DF2328">
              <w:rPr>
                <w:noProof/>
                <w:color w:val="000000"/>
                <w:lang w:val="en-US"/>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2015DDD8" w14:textId="77777777" w:rsidR="00DF2328" w:rsidRPr="00DF2328" w:rsidRDefault="00DF2328">
            <w:pPr>
              <w:rPr>
                <w:noProof/>
                <w:color w:val="000000"/>
                <w:lang w:val="en-US"/>
              </w:rPr>
            </w:pPr>
            <w:r w:rsidRPr="00DF2328">
              <w:rPr>
                <w:noProof/>
                <w:color w:val="000000"/>
                <w:lang w:val="en-US"/>
              </w:rPr>
              <w:t> </w:t>
            </w:r>
          </w:p>
        </w:tc>
      </w:tr>
      <w:tr w:rsidR="00DF2328" w14:paraId="430440AA"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95B3D7"/>
            <w:noWrap/>
            <w:vAlign w:val="bottom"/>
            <w:hideMark/>
          </w:tcPr>
          <w:p w14:paraId="65555178" w14:textId="77777777" w:rsidR="00DF2328" w:rsidRDefault="00DF2328">
            <w:pPr>
              <w:rPr>
                <w:b/>
                <w:bCs/>
                <w:noProof/>
                <w:color w:val="FFFFFF"/>
              </w:rPr>
            </w:pPr>
            <w:r>
              <w:rPr>
                <w:b/>
                <w:bCs/>
                <w:noProof/>
                <w:color w:val="FFFFFF"/>
              </w:rPr>
              <w:t>Reasonable duration</w:t>
            </w:r>
          </w:p>
        </w:tc>
        <w:tc>
          <w:tcPr>
            <w:tcW w:w="2500" w:type="dxa"/>
            <w:tcBorders>
              <w:top w:val="single" w:sz="6" w:space="0" w:color="auto"/>
              <w:left w:val="single" w:sz="6" w:space="0" w:color="auto"/>
              <w:bottom w:val="single" w:sz="6" w:space="0" w:color="auto"/>
              <w:right w:val="single" w:sz="6" w:space="0" w:color="auto"/>
            </w:tcBorders>
            <w:shd w:val="clear" w:color="auto" w:fill="95B3D7"/>
            <w:noWrap/>
            <w:vAlign w:val="bottom"/>
            <w:hideMark/>
          </w:tcPr>
          <w:p w14:paraId="15235A31" w14:textId="77777777" w:rsidR="00DF2328" w:rsidRDefault="00DF2328">
            <w:pPr>
              <w:rPr>
                <w:noProof/>
                <w:color w:val="FFFFFF"/>
              </w:rPr>
            </w:pPr>
            <w:r>
              <w:rPr>
                <w:noProof/>
                <w:color w:val="FFFFFF"/>
              </w:rPr>
              <w:t> </w:t>
            </w:r>
          </w:p>
        </w:tc>
        <w:tc>
          <w:tcPr>
            <w:tcW w:w="2320" w:type="dxa"/>
            <w:tcBorders>
              <w:top w:val="single" w:sz="6" w:space="0" w:color="auto"/>
              <w:left w:val="single" w:sz="6" w:space="0" w:color="auto"/>
              <w:bottom w:val="single" w:sz="6" w:space="0" w:color="auto"/>
              <w:right w:val="single" w:sz="4" w:space="0" w:color="auto"/>
            </w:tcBorders>
            <w:shd w:val="clear" w:color="auto" w:fill="95B3D7"/>
            <w:noWrap/>
            <w:vAlign w:val="bottom"/>
            <w:hideMark/>
          </w:tcPr>
          <w:p w14:paraId="0847BC02" w14:textId="77777777" w:rsidR="00DF2328" w:rsidRDefault="00DF2328">
            <w:pPr>
              <w:rPr>
                <w:noProof/>
                <w:color w:val="FFFFFF"/>
              </w:rPr>
            </w:pPr>
            <w:r>
              <w:rPr>
                <w:noProof/>
                <w:color w:val="FFFFFF"/>
              </w:rPr>
              <w:t> </w:t>
            </w:r>
          </w:p>
        </w:tc>
      </w:tr>
      <w:tr w:rsidR="00DF2328" w14:paraId="153DE254"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15318C7B" w14:textId="77777777" w:rsidR="00DF2328" w:rsidRDefault="00DF2328">
            <w:pPr>
              <w:rPr>
                <w:noProof/>
                <w:color w:val="000000"/>
              </w:rPr>
            </w:pPr>
            <w:r>
              <w:rPr>
                <w:noProof/>
                <w:color w:val="000000"/>
              </w:rPr>
              <w:t>Duration limited to 6 months</w:t>
            </w:r>
          </w:p>
        </w:tc>
        <w:tc>
          <w:tcPr>
            <w:tcW w:w="2500" w:type="dxa"/>
            <w:tcBorders>
              <w:top w:val="single" w:sz="6" w:space="0" w:color="auto"/>
              <w:left w:val="single" w:sz="6" w:space="0" w:color="auto"/>
              <w:bottom w:val="single" w:sz="6" w:space="0" w:color="auto"/>
              <w:right w:val="single" w:sz="6" w:space="0" w:color="auto"/>
            </w:tcBorders>
            <w:shd w:val="clear" w:color="auto" w:fill="00B050"/>
            <w:noWrap/>
            <w:vAlign w:val="bottom"/>
            <w:hideMark/>
          </w:tcPr>
          <w:p w14:paraId="28E7128B"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43BF1964" w14:textId="77777777" w:rsidR="00DF2328" w:rsidRDefault="00DF2328">
            <w:pPr>
              <w:rPr>
                <w:noProof/>
                <w:color w:val="000000"/>
              </w:rPr>
            </w:pPr>
            <w:r>
              <w:rPr>
                <w:noProof/>
                <w:color w:val="000000"/>
              </w:rPr>
              <w:t> </w:t>
            </w:r>
          </w:p>
        </w:tc>
      </w:tr>
      <w:tr w:rsidR="00DF2328" w:rsidRPr="000E6959" w14:paraId="563C6B44"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0220718F" w14:textId="77777777" w:rsidR="00DF2328" w:rsidRPr="00DF2328" w:rsidRDefault="00DF2328">
            <w:pPr>
              <w:rPr>
                <w:noProof/>
                <w:color w:val="000000"/>
                <w:lang w:val="en-US"/>
              </w:rPr>
            </w:pPr>
            <w:r w:rsidRPr="00DF2328">
              <w:rPr>
                <w:noProof/>
                <w:color w:val="000000"/>
                <w:lang w:val="en-US"/>
              </w:rPr>
              <w:t>Conditions of longer duration clarified</w:t>
            </w:r>
          </w:p>
        </w:tc>
        <w:tc>
          <w:tcPr>
            <w:tcW w:w="2500" w:type="dxa"/>
            <w:tcBorders>
              <w:top w:val="single" w:sz="6" w:space="0" w:color="auto"/>
              <w:left w:val="single" w:sz="6" w:space="0" w:color="auto"/>
              <w:bottom w:val="single" w:sz="6" w:space="0" w:color="auto"/>
              <w:right w:val="single" w:sz="6" w:space="0" w:color="auto"/>
            </w:tcBorders>
            <w:shd w:val="clear" w:color="auto" w:fill="FF0000"/>
            <w:noWrap/>
            <w:vAlign w:val="bottom"/>
            <w:hideMark/>
          </w:tcPr>
          <w:p w14:paraId="31B1218A" w14:textId="77777777" w:rsidR="00DF2328" w:rsidRPr="00DF2328" w:rsidRDefault="00DF2328">
            <w:pPr>
              <w:rPr>
                <w:noProof/>
                <w:color w:val="000000"/>
                <w:lang w:val="en-US"/>
              </w:rPr>
            </w:pPr>
            <w:r w:rsidRPr="00DF2328">
              <w:rPr>
                <w:noProof/>
                <w:color w:val="000000"/>
                <w:lang w:val="en-US"/>
              </w:rPr>
              <w:t> </w:t>
            </w:r>
          </w:p>
        </w:tc>
        <w:tc>
          <w:tcPr>
            <w:tcW w:w="2320" w:type="dxa"/>
            <w:tcBorders>
              <w:top w:val="single" w:sz="6" w:space="0" w:color="auto"/>
              <w:left w:val="single" w:sz="6" w:space="0" w:color="auto"/>
              <w:bottom w:val="single" w:sz="6" w:space="0" w:color="auto"/>
              <w:right w:val="single" w:sz="4" w:space="0" w:color="auto"/>
            </w:tcBorders>
            <w:shd w:val="clear" w:color="auto" w:fill="FFC000"/>
            <w:noWrap/>
            <w:vAlign w:val="bottom"/>
            <w:hideMark/>
          </w:tcPr>
          <w:p w14:paraId="73607383" w14:textId="77777777" w:rsidR="00DF2328" w:rsidRPr="00DF2328" w:rsidRDefault="00DF2328">
            <w:pPr>
              <w:rPr>
                <w:noProof/>
                <w:color w:val="000000"/>
                <w:lang w:val="en-US"/>
              </w:rPr>
            </w:pPr>
            <w:r w:rsidRPr="00DF2328">
              <w:rPr>
                <w:noProof/>
                <w:color w:val="000000"/>
                <w:lang w:val="en-US"/>
              </w:rPr>
              <w:t> </w:t>
            </w:r>
          </w:p>
        </w:tc>
      </w:tr>
      <w:tr w:rsidR="00DF2328" w14:paraId="376B4C9C"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66EBE126" w14:textId="77777777" w:rsidR="00DF2328" w:rsidRDefault="00DF2328">
            <w:pPr>
              <w:rPr>
                <w:noProof/>
                <w:color w:val="000000"/>
              </w:rPr>
            </w:pPr>
            <w:r>
              <w:rPr>
                <w:noProof/>
                <w:color w:val="000000"/>
              </w:rPr>
              <w:t>Termination allowed</w:t>
            </w:r>
          </w:p>
        </w:tc>
        <w:tc>
          <w:tcPr>
            <w:tcW w:w="2500" w:type="dxa"/>
            <w:tcBorders>
              <w:top w:val="single" w:sz="6" w:space="0" w:color="auto"/>
              <w:left w:val="single" w:sz="6" w:space="0" w:color="auto"/>
              <w:bottom w:val="single" w:sz="6" w:space="0" w:color="auto"/>
              <w:right w:val="single" w:sz="6" w:space="0" w:color="auto"/>
            </w:tcBorders>
            <w:shd w:val="clear" w:color="auto" w:fill="FFC000"/>
            <w:noWrap/>
            <w:vAlign w:val="bottom"/>
            <w:hideMark/>
          </w:tcPr>
          <w:p w14:paraId="022959A8"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FFC000"/>
            <w:noWrap/>
            <w:vAlign w:val="bottom"/>
            <w:hideMark/>
          </w:tcPr>
          <w:p w14:paraId="07613643" w14:textId="77777777" w:rsidR="00DF2328" w:rsidRDefault="00DF2328">
            <w:pPr>
              <w:rPr>
                <w:noProof/>
                <w:color w:val="000000"/>
              </w:rPr>
            </w:pPr>
            <w:r>
              <w:rPr>
                <w:noProof/>
                <w:color w:val="000000"/>
              </w:rPr>
              <w:t> </w:t>
            </w:r>
          </w:p>
        </w:tc>
      </w:tr>
      <w:tr w:rsidR="00DF2328" w14:paraId="44C0CFF0"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95B3D7"/>
            <w:noWrap/>
            <w:vAlign w:val="bottom"/>
            <w:hideMark/>
          </w:tcPr>
          <w:p w14:paraId="2A66C3D9" w14:textId="77777777" w:rsidR="00DF2328" w:rsidRDefault="00DF2328">
            <w:pPr>
              <w:rPr>
                <w:b/>
                <w:bCs/>
                <w:noProof/>
                <w:color w:val="FFFFFF"/>
              </w:rPr>
            </w:pPr>
            <w:r>
              <w:rPr>
                <w:b/>
                <w:bCs/>
                <w:noProof/>
                <w:color w:val="FFFFFF"/>
              </w:rPr>
              <w:t>Proper recognition of traineeship</w:t>
            </w:r>
          </w:p>
        </w:tc>
        <w:tc>
          <w:tcPr>
            <w:tcW w:w="2500" w:type="dxa"/>
            <w:tcBorders>
              <w:top w:val="single" w:sz="6" w:space="0" w:color="auto"/>
              <w:left w:val="single" w:sz="6" w:space="0" w:color="auto"/>
              <w:bottom w:val="single" w:sz="6" w:space="0" w:color="auto"/>
              <w:right w:val="single" w:sz="6" w:space="0" w:color="auto"/>
            </w:tcBorders>
            <w:shd w:val="clear" w:color="auto" w:fill="95B3D7"/>
            <w:noWrap/>
            <w:vAlign w:val="bottom"/>
            <w:hideMark/>
          </w:tcPr>
          <w:p w14:paraId="43741574" w14:textId="77777777" w:rsidR="00DF2328" w:rsidRDefault="00DF2328">
            <w:pPr>
              <w:rPr>
                <w:noProof/>
                <w:color w:val="FFFFFF"/>
              </w:rPr>
            </w:pPr>
            <w:r>
              <w:rPr>
                <w:noProof/>
                <w:color w:val="FFFFFF"/>
              </w:rPr>
              <w:t> </w:t>
            </w:r>
          </w:p>
        </w:tc>
        <w:tc>
          <w:tcPr>
            <w:tcW w:w="2320" w:type="dxa"/>
            <w:tcBorders>
              <w:top w:val="single" w:sz="6" w:space="0" w:color="auto"/>
              <w:left w:val="single" w:sz="6" w:space="0" w:color="auto"/>
              <w:bottom w:val="single" w:sz="6" w:space="0" w:color="auto"/>
              <w:right w:val="single" w:sz="4" w:space="0" w:color="auto"/>
            </w:tcBorders>
            <w:shd w:val="clear" w:color="auto" w:fill="95B3D7"/>
            <w:noWrap/>
            <w:vAlign w:val="bottom"/>
            <w:hideMark/>
          </w:tcPr>
          <w:p w14:paraId="5767D0C4" w14:textId="77777777" w:rsidR="00DF2328" w:rsidRDefault="00DF2328">
            <w:pPr>
              <w:rPr>
                <w:noProof/>
                <w:color w:val="FFFFFF"/>
              </w:rPr>
            </w:pPr>
            <w:r>
              <w:rPr>
                <w:noProof/>
                <w:color w:val="FFFFFF"/>
              </w:rPr>
              <w:t> </w:t>
            </w:r>
          </w:p>
        </w:tc>
      </w:tr>
      <w:tr w:rsidR="00DF2328" w14:paraId="634943A0"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33F5F0C5" w14:textId="77777777" w:rsidR="00DF2328" w:rsidRDefault="00DF2328">
            <w:pPr>
              <w:rPr>
                <w:noProof/>
                <w:color w:val="000000"/>
              </w:rPr>
            </w:pPr>
            <w:r>
              <w:rPr>
                <w:noProof/>
                <w:color w:val="000000"/>
              </w:rPr>
              <w:t>Proper recognition through certificate</w:t>
            </w:r>
          </w:p>
        </w:tc>
        <w:tc>
          <w:tcPr>
            <w:tcW w:w="2500" w:type="dxa"/>
            <w:tcBorders>
              <w:top w:val="single" w:sz="6" w:space="0" w:color="auto"/>
              <w:left w:val="single" w:sz="6" w:space="0" w:color="auto"/>
              <w:bottom w:val="single" w:sz="6" w:space="0" w:color="auto"/>
              <w:right w:val="single" w:sz="6" w:space="0" w:color="auto"/>
            </w:tcBorders>
            <w:shd w:val="clear" w:color="auto" w:fill="FFC000"/>
            <w:noWrap/>
            <w:vAlign w:val="bottom"/>
            <w:hideMark/>
          </w:tcPr>
          <w:p w14:paraId="7D229373"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327F9378" w14:textId="77777777" w:rsidR="00DF2328" w:rsidRDefault="00DF2328">
            <w:pPr>
              <w:rPr>
                <w:noProof/>
                <w:color w:val="000000"/>
              </w:rPr>
            </w:pPr>
            <w:r>
              <w:rPr>
                <w:noProof/>
                <w:color w:val="000000"/>
              </w:rPr>
              <w:t> </w:t>
            </w:r>
          </w:p>
        </w:tc>
      </w:tr>
      <w:tr w:rsidR="00DF2328" w14:paraId="502011BE"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95B3D7"/>
            <w:noWrap/>
            <w:vAlign w:val="bottom"/>
            <w:hideMark/>
          </w:tcPr>
          <w:p w14:paraId="0CB43396" w14:textId="77777777" w:rsidR="00DF2328" w:rsidRDefault="00DF2328">
            <w:pPr>
              <w:rPr>
                <w:b/>
                <w:bCs/>
                <w:noProof/>
                <w:color w:val="FFFFFF"/>
              </w:rPr>
            </w:pPr>
            <w:r>
              <w:rPr>
                <w:b/>
                <w:bCs/>
                <w:noProof/>
                <w:color w:val="FFFFFF"/>
              </w:rPr>
              <w:t>Transparency requirements</w:t>
            </w:r>
          </w:p>
        </w:tc>
        <w:tc>
          <w:tcPr>
            <w:tcW w:w="2500" w:type="dxa"/>
            <w:tcBorders>
              <w:top w:val="single" w:sz="6" w:space="0" w:color="auto"/>
              <w:left w:val="single" w:sz="6" w:space="0" w:color="auto"/>
              <w:bottom w:val="single" w:sz="6" w:space="0" w:color="auto"/>
              <w:right w:val="single" w:sz="6" w:space="0" w:color="auto"/>
            </w:tcBorders>
            <w:shd w:val="clear" w:color="auto" w:fill="95B3D7"/>
            <w:noWrap/>
            <w:vAlign w:val="bottom"/>
            <w:hideMark/>
          </w:tcPr>
          <w:p w14:paraId="782BA887" w14:textId="77777777" w:rsidR="00DF2328" w:rsidRDefault="00DF2328">
            <w:pPr>
              <w:rPr>
                <w:noProof/>
                <w:color w:val="FFFFFF"/>
              </w:rPr>
            </w:pPr>
            <w:r>
              <w:rPr>
                <w:noProof/>
                <w:color w:val="FFFFFF"/>
              </w:rPr>
              <w:t> </w:t>
            </w:r>
          </w:p>
        </w:tc>
        <w:tc>
          <w:tcPr>
            <w:tcW w:w="2320" w:type="dxa"/>
            <w:tcBorders>
              <w:top w:val="single" w:sz="6" w:space="0" w:color="auto"/>
              <w:left w:val="single" w:sz="6" w:space="0" w:color="auto"/>
              <w:bottom w:val="single" w:sz="6" w:space="0" w:color="auto"/>
              <w:right w:val="single" w:sz="4" w:space="0" w:color="auto"/>
            </w:tcBorders>
            <w:shd w:val="clear" w:color="auto" w:fill="95B3D7"/>
            <w:noWrap/>
            <w:vAlign w:val="bottom"/>
            <w:hideMark/>
          </w:tcPr>
          <w:p w14:paraId="3DED353C" w14:textId="77777777" w:rsidR="00DF2328" w:rsidRDefault="00DF2328">
            <w:pPr>
              <w:rPr>
                <w:noProof/>
                <w:color w:val="FFFFFF"/>
              </w:rPr>
            </w:pPr>
            <w:r>
              <w:rPr>
                <w:noProof/>
                <w:color w:val="FFFFFF"/>
              </w:rPr>
              <w:t> </w:t>
            </w:r>
          </w:p>
        </w:tc>
      </w:tr>
      <w:tr w:rsidR="00DF2328" w14:paraId="40877AB2"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795582C8" w14:textId="77777777" w:rsidR="00DF2328" w:rsidRDefault="00DF2328">
            <w:pPr>
              <w:rPr>
                <w:noProof/>
                <w:color w:val="000000"/>
              </w:rPr>
            </w:pPr>
            <w:r>
              <w:rPr>
                <w:noProof/>
                <w:color w:val="000000"/>
              </w:rPr>
              <w:t xml:space="preserve">Allowance/compensation  </w:t>
            </w:r>
          </w:p>
        </w:tc>
        <w:tc>
          <w:tcPr>
            <w:tcW w:w="2500" w:type="dxa"/>
            <w:tcBorders>
              <w:top w:val="single" w:sz="6" w:space="0" w:color="auto"/>
              <w:left w:val="single" w:sz="6" w:space="0" w:color="auto"/>
              <w:bottom w:val="single" w:sz="6" w:space="0" w:color="auto"/>
              <w:right w:val="single" w:sz="6" w:space="0" w:color="auto"/>
            </w:tcBorders>
            <w:shd w:val="clear" w:color="auto" w:fill="00B050"/>
            <w:noWrap/>
            <w:vAlign w:val="bottom"/>
            <w:hideMark/>
          </w:tcPr>
          <w:p w14:paraId="60872DE9"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3CF93C34" w14:textId="77777777" w:rsidR="00DF2328" w:rsidRDefault="00DF2328">
            <w:pPr>
              <w:rPr>
                <w:noProof/>
                <w:color w:val="000000"/>
              </w:rPr>
            </w:pPr>
            <w:r>
              <w:rPr>
                <w:noProof/>
                <w:color w:val="000000"/>
              </w:rPr>
              <w:t> </w:t>
            </w:r>
          </w:p>
        </w:tc>
      </w:tr>
      <w:tr w:rsidR="00DF2328" w14:paraId="3BB27871"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287AD668" w14:textId="77777777" w:rsidR="00DF2328" w:rsidRDefault="00DF2328">
            <w:pPr>
              <w:rPr>
                <w:noProof/>
                <w:color w:val="000000"/>
              </w:rPr>
            </w:pPr>
            <w:r>
              <w:rPr>
                <w:noProof/>
                <w:color w:val="000000"/>
              </w:rPr>
              <w:t xml:space="preserve">Health/accident insurance </w:t>
            </w:r>
          </w:p>
        </w:tc>
        <w:tc>
          <w:tcPr>
            <w:tcW w:w="2500" w:type="dxa"/>
            <w:tcBorders>
              <w:top w:val="single" w:sz="6" w:space="0" w:color="auto"/>
              <w:left w:val="single" w:sz="6" w:space="0" w:color="auto"/>
              <w:bottom w:val="single" w:sz="6" w:space="0" w:color="auto"/>
              <w:right w:val="single" w:sz="6" w:space="0" w:color="auto"/>
            </w:tcBorders>
            <w:shd w:val="clear" w:color="auto" w:fill="00B050"/>
            <w:noWrap/>
            <w:vAlign w:val="bottom"/>
            <w:hideMark/>
          </w:tcPr>
          <w:p w14:paraId="0B802229" w14:textId="77777777" w:rsidR="00DF2328" w:rsidRDefault="00DF2328">
            <w:pPr>
              <w:rPr>
                <w:noProof/>
                <w:color w:val="000000"/>
              </w:rPr>
            </w:pPr>
            <w:r>
              <w:rPr>
                <w:noProof/>
                <w:color w:val="000000"/>
              </w:rPr>
              <w:t> </w:t>
            </w:r>
          </w:p>
        </w:tc>
        <w:tc>
          <w:tcPr>
            <w:tcW w:w="2320" w:type="dxa"/>
            <w:tcBorders>
              <w:top w:val="single" w:sz="6" w:space="0" w:color="auto"/>
              <w:left w:val="single" w:sz="6" w:space="0" w:color="auto"/>
              <w:bottom w:val="single" w:sz="6" w:space="0" w:color="auto"/>
              <w:right w:val="single" w:sz="4" w:space="0" w:color="auto"/>
            </w:tcBorders>
            <w:shd w:val="clear" w:color="auto" w:fill="00B050"/>
            <w:noWrap/>
            <w:vAlign w:val="bottom"/>
            <w:hideMark/>
          </w:tcPr>
          <w:p w14:paraId="4DAB3238" w14:textId="77777777" w:rsidR="00DF2328" w:rsidRDefault="00DF2328">
            <w:pPr>
              <w:rPr>
                <w:noProof/>
                <w:color w:val="000000"/>
              </w:rPr>
            </w:pPr>
            <w:r>
              <w:rPr>
                <w:noProof/>
                <w:color w:val="000000"/>
              </w:rPr>
              <w:t> </w:t>
            </w:r>
          </w:p>
        </w:tc>
      </w:tr>
      <w:tr w:rsidR="00DF2328" w:rsidRPr="000E6959" w14:paraId="489CD524" w14:textId="77777777" w:rsidTr="00DF2328">
        <w:trPr>
          <w:trHeight w:val="300"/>
        </w:trPr>
        <w:tc>
          <w:tcPr>
            <w:tcW w:w="4680" w:type="dxa"/>
            <w:tcBorders>
              <w:top w:val="single" w:sz="6" w:space="0" w:color="auto"/>
              <w:left w:val="single" w:sz="4" w:space="0" w:color="auto"/>
              <w:bottom w:val="single" w:sz="6" w:space="0" w:color="auto"/>
              <w:right w:val="single" w:sz="6" w:space="0" w:color="auto"/>
            </w:tcBorders>
            <w:shd w:val="clear" w:color="auto" w:fill="B8CCE4"/>
            <w:noWrap/>
            <w:vAlign w:val="bottom"/>
            <w:hideMark/>
          </w:tcPr>
          <w:p w14:paraId="48C368AF" w14:textId="77777777" w:rsidR="00DF2328" w:rsidRPr="00DF2328" w:rsidRDefault="00DF2328">
            <w:pPr>
              <w:rPr>
                <w:noProof/>
                <w:color w:val="000000"/>
                <w:lang w:val="en-US"/>
              </w:rPr>
            </w:pPr>
            <w:r w:rsidRPr="00DF2328">
              <w:rPr>
                <w:noProof/>
                <w:color w:val="000000"/>
                <w:lang w:val="en-US"/>
              </w:rPr>
              <w:t>Hiring practices in recent years</w:t>
            </w:r>
          </w:p>
        </w:tc>
        <w:tc>
          <w:tcPr>
            <w:tcW w:w="2500" w:type="dxa"/>
            <w:tcBorders>
              <w:top w:val="single" w:sz="6" w:space="0" w:color="auto"/>
              <w:left w:val="single" w:sz="6" w:space="0" w:color="auto"/>
              <w:bottom w:val="single" w:sz="6" w:space="0" w:color="auto"/>
              <w:right w:val="single" w:sz="6" w:space="0" w:color="auto"/>
            </w:tcBorders>
            <w:shd w:val="clear" w:color="auto" w:fill="FF0000"/>
            <w:noWrap/>
            <w:vAlign w:val="bottom"/>
            <w:hideMark/>
          </w:tcPr>
          <w:p w14:paraId="0B93CF0E" w14:textId="77777777" w:rsidR="00DF2328" w:rsidRPr="00DF2328" w:rsidRDefault="00DF2328">
            <w:pPr>
              <w:rPr>
                <w:noProof/>
                <w:color w:val="000000"/>
                <w:lang w:val="en-US"/>
              </w:rPr>
            </w:pPr>
            <w:r w:rsidRPr="00DF2328">
              <w:rPr>
                <w:noProof/>
                <w:color w:val="000000"/>
                <w:lang w:val="en-US"/>
              </w:rPr>
              <w:t> </w:t>
            </w:r>
          </w:p>
        </w:tc>
        <w:tc>
          <w:tcPr>
            <w:tcW w:w="2320" w:type="dxa"/>
            <w:tcBorders>
              <w:top w:val="single" w:sz="6" w:space="0" w:color="auto"/>
              <w:left w:val="single" w:sz="6" w:space="0" w:color="auto"/>
              <w:bottom w:val="single" w:sz="6" w:space="0" w:color="auto"/>
              <w:right w:val="single" w:sz="4" w:space="0" w:color="auto"/>
            </w:tcBorders>
            <w:shd w:val="clear" w:color="auto" w:fill="FF0000"/>
            <w:noWrap/>
            <w:vAlign w:val="bottom"/>
            <w:hideMark/>
          </w:tcPr>
          <w:p w14:paraId="407AF885" w14:textId="77777777" w:rsidR="00DF2328" w:rsidRPr="00DF2328" w:rsidRDefault="00DF2328">
            <w:pPr>
              <w:rPr>
                <w:noProof/>
                <w:color w:val="000000"/>
                <w:lang w:val="en-US"/>
              </w:rPr>
            </w:pPr>
            <w:r w:rsidRPr="00DF2328">
              <w:rPr>
                <w:noProof/>
                <w:color w:val="000000"/>
                <w:lang w:val="en-US"/>
              </w:rPr>
              <w:t> </w:t>
            </w:r>
          </w:p>
        </w:tc>
      </w:tr>
      <w:tr w:rsidR="00DF2328" w:rsidRPr="000E6959" w14:paraId="113BBC1D" w14:textId="77777777" w:rsidTr="00DF2328">
        <w:trPr>
          <w:trHeight w:val="300"/>
        </w:trPr>
        <w:tc>
          <w:tcPr>
            <w:tcW w:w="4680" w:type="dxa"/>
            <w:tcBorders>
              <w:top w:val="single" w:sz="6" w:space="0" w:color="auto"/>
              <w:left w:val="single" w:sz="4" w:space="0" w:color="auto"/>
              <w:bottom w:val="single" w:sz="4" w:space="0" w:color="auto"/>
              <w:right w:val="single" w:sz="6" w:space="0" w:color="auto"/>
            </w:tcBorders>
            <w:shd w:val="clear" w:color="auto" w:fill="B8CCE4"/>
            <w:noWrap/>
            <w:vAlign w:val="bottom"/>
            <w:hideMark/>
          </w:tcPr>
          <w:p w14:paraId="43A9A337" w14:textId="77777777" w:rsidR="00DF2328" w:rsidRPr="00DF2328" w:rsidRDefault="00DF2328">
            <w:pPr>
              <w:rPr>
                <w:noProof/>
                <w:color w:val="000000"/>
                <w:lang w:val="en-US"/>
              </w:rPr>
            </w:pPr>
            <w:r w:rsidRPr="00DF2328">
              <w:rPr>
                <w:noProof/>
                <w:color w:val="000000"/>
                <w:lang w:val="en-US"/>
              </w:rPr>
              <w:t>Employment services on financial conditions</w:t>
            </w:r>
          </w:p>
        </w:tc>
        <w:tc>
          <w:tcPr>
            <w:tcW w:w="2500" w:type="dxa"/>
            <w:tcBorders>
              <w:top w:val="single" w:sz="6" w:space="0" w:color="auto"/>
              <w:left w:val="single" w:sz="6" w:space="0" w:color="auto"/>
              <w:bottom w:val="single" w:sz="4" w:space="0" w:color="auto"/>
              <w:right w:val="single" w:sz="6" w:space="0" w:color="auto"/>
            </w:tcBorders>
            <w:shd w:val="clear" w:color="auto" w:fill="00B050"/>
            <w:noWrap/>
            <w:vAlign w:val="bottom"/>
            <w:hideMark/>
          </w:tcPr>
          <w:p w14:paraId="5DE7465A" w14:textId="77777777" w:rsidR="00DF2328" w:rsidRPr="00DF2328" w:rsidRDefault="00DF2328">
            <w:pPr>
              <w:rPr>
                <w:noProof/>
                <w:color w:val="000000"/>
                <w:lang w:val="en-US"/>
              </w:rPr>
            </w:pPr>
            <w:r w:rsidRPr="00DF2328">
              <w:rPr>
                <w:noProof/>
                <w:color w:val="000000"/>
                <w:lang w:val="en-US"/>
              </w:rPr>
              <w:t> </w:t>
            </w:r>
          </w:p>
        </w:tc>
        <w:tc>
          <w:tcPr>
            <w:tcW w:w="2320" w:type="dxa"/>
            <w:tcBorders>
              <w:top w:val="single" w:sz="6" w:space="0" w:color="auto"/>
              <w:left w:val="single" w:sz="6" w:space="0" w:color="auto"/>
              <w:bottom w:val="single" w:sz="4" w:space="0" w:color="auto"/>
              <w:right w:val="single" w:sz="4" w:space="0" w:color="auto"/>
            </w:tcBorders>
            <w:shd w:val="clear" w:color="auto" w:fill="00B050"/>
            <w:noWrap/>
            <w:vAlign w:val="bottom"/>
            <w:hideMark/>
          </w:tcPr>
          <w:p w14:paraId="0C82CE94" w14:textId="77777777" w:rsidR="00DF2328" w:rsidRPr="00DF2328" w:rsidRDefault="00DF2328">
            <w:pPr>
              <w:rPr>
                <w:noProof/>
                <w:color w:val="000000"/>
                <w:lang w:val="en-US"/>
              </w:rPr>
            </w:pPr>
            <w:r w:rsidRPr="00DF2328">
              <w:rPr>
                <w:noProof/>
                <w:color w:val="000000"/>
                <w:lang w:val="en-US"/>
              </w:rPr>
              <w:t> </w:t>
            </w:r>
          </w:p>
        </w:tc>
      </w:tr>
      <w:tr w:rsidR="00DF2328" w:rsidRPr="000E6959" w14:paraId="3E65894D" w14:textId="77777777" w:rsidTr="00DF2328">
        <w:trPr>
          <w:trHeight w:val="300"/>
        </w:trPr>
        <w:tc>
          <w:tcPr>
            <w:tcW w:w="4680" w:type="dxa"/>
            <w:tcBorders>
              <w:top w:val="single" w:sz="4" w:space="0" w:color="auto"/>
              <w:left w:val="nil"/>
              <w:bottom w:val="nil"/>
              <w:right w:val="nil"/>
            </w:tcBorders>
            <w:noWrap/>
            <w:vAlign w:val="bottom"/>
            <w:hideMark/>
          </w:tcPr>
          <w:p w14:paraId="3BAC6ECA" w14:textId="77777777" w:rsidR="00DF2328" w:rsidRPr="00DF2328" w:rsidRDefault="00DF2328">
            <w:pPr>
              <w:rPr>
                <w:noProof/>
                <w:color w:val="000000"/>
                <w:lang w:val="en-US"/>
              </w:rPr>
            </w:pPr>
          </w:p>
        </w:tc>
        <w:tc>
          <w:tcPr>
            <w:tcW w:w="2500" w:type="dxa"/>
            <w:tcBorders>
              <w:top w:val="single" w:sz="4" w:space="0" w:color="auto"/>
              <w:left w:val="nil"/>
              <w:bottom w:val="nil"/>
              <w:right w:val="nil"/>
            </w:tcBorders>
            <w:noWrap/>
            <w:vAlign w:val="bottom"/>
            <w:hideMark/>
          </w:tcPr>
          <w:p w14:paraId="61231572" w14:textId="77777777" w:rsidR="00DF2328" w:rsidRPr="00DF2328" w:rsidRDefault="00DF2328">
            <w:pPr>
              <w:rPr>
                <w:sz w:val="20"/>
                <w:szCs w:val="20"/>
                <w:lang w:val="en-US" w:eastAsia="pl-PL"/>
              </w:rPr>
            </w:pPr>
          </w:p>
        </w:tc>
        <w:tc>
          <w:tcPr>
            <w:tcW w:w="2320" w:type="dxa"/>
            <w:tcBorders>
              <w:top w:val="single" w:sz="4" w:space="0" w:color="auto"/>
              <w:left w:val="nil"/>
              <w:bottom w:val="nil"/>
              <w:right w:val="nil"/>
            </w:tcBorders>
            <w:noWrap/>
            <w:vAlign w:val="bottom"/>
            <w:hideMark/>
          </w:tcPr>
          <w:p w14:paraId="19FA9CFE" w14:textId="77777777" w:rsidR="00DF2328" w:rsidRPr="00DF2328" w:rsidRDefault="00DF2328">
            <w:pPr>
              <w:rPr>
                <w:sz w:val="20"/>
                <w:szCs w:val="20"/>
                <w:lang w:val="en-US" w:eastAsia="pl-PL"/>
              </w:rPr>
            </w:pPr>
          </w:p>
        </w:tc>
      </w:tr>
      <w:tr w:rsidR="00DF2328" w:rsidRPr="000E6959" w14:paraId="0D59AB47" w14:textId="77777777" w:rsidTr="00DF2328">
        <w:trPr>
          <w:trHeight w:val="300"/>
        </w:trPr>
        <w:tc>
          <w:tcPr>
            <w:tcW w:w="4680" w:type="dxa"/>
            <w:noWrap/>
            <w:vAlign w:val="bottom"/>
            <w:hideMark/>
          </w:tcPr>
          <w:p w14:paraId="58511E52" w14:textId="77777777" w:rsidR="00DF2328" w:rsidRPr="00DF2328" w:rsidRDefault="00DF2328">
            <w:pPr>
              <w:rPr>
                <w:sz w:val="20"/>
                <w:szCs w:val="20"/>
                <w:lang w:val="en-US" w:eastAsia="pl-PL"/>
              </w:rPr>
            </w:pPr>
          </w:p>
        </w:tc>
        <w:tc>
          <w:tcPr>
            <w:tcW w:w="2500" w:type="dxa"/>
            <w:noWrap/>
            <w:vAlign w:val="bottom"/>
            <w:hideMark/>
          </w:tcPr>
          <w:p w14:paraId="3B051757" w14:textId="77777777" w:rsidR="00DF2328" w:rsidRPr="00DF2328" w:rsidRDefault="00DF2328">
            <w:pPr>
              <w:rPr>
                <w:sz w:val="20"/>
                <w:szCs w:val="20"/>
                <w:lang w:val="en-US" w:eastAsia="pl-PL"/>
              </w:rPr>
            </w:pPr>
          </w:p>
        </w:tc>
        <w:tc>
          <w:tcPr>
            <w:tcW w:w="2320" w:type="dxa"/>
            <w:noWrap/>
            <w:vAlign w:val="bottom"/>
            <w:hideMark/>
          </w:tcPr>
          <w:p w14:paraId="4D5D3F7E" w14:textId="77777777" w:rsidR="00DF2328" w:rsidRPr="00DF2328" w:rsidRDefault="00DF2328">
            <w:pPr>
              <w:rPr>
                <w:sz w:val="20"/>
                <w:szCs w:val="20"/>
                <w:lang w:val="en-US" w:eastAsia="pl-PL"/>
              </w:rPr>
            </w:pPr>
          </w:p>
        </w:tc>
      </w:tr>
      <w:tr w:rsidR="00DF2328" w14:paraId="4F9E253C" w14:textId="77777777" w:rsidTr="00DF2328">
        <w:trPr>
          <w:trHeight w:val="300"/>
        </w:trPr>
        <w:tc>
          <w:tcPr>
            <w:tcW w:w="4680" w:type="dxa"/>
            <w:noWrap/>
            <w:vAlign w:val="bottom"/>
            <w:hideMark/>
          </w:tcPr>
          <w:p w14:paraId="440C88DA" w14:textId="77777777" w:rsidR="00DF2328" w:rsidRPr="00DF2328" w:rsidRDefault="00DF2328">
            <w:pPr>
              <w:rPr>
                <w:sz w:val="20"/>
                <w:szCs w:val="20"/>
                <w:lang w:val="en-US" w:eastAsia="pl-PL"/>
              </w:rPr>
            </w:pPr>
          </w:p>
        </w:tc>
        <w:tc>
          <w:tcPr>
            <w:tcW w:w="2500" w:type="dxa"/>
            <w:shd w:val="clear" w:color="auto" w:fill="00B050"/>
            <w:noWrap/>
            <w:vAlign w:val="bottom"/>
            <w:hideMark/>
          </w:tcPr>
          <w:p w14:paraId="2FEAE6AB" w14:textId="77777777" w:rsidR="00DF2328" w:rsidRDefault="00DF2328">
            <w:pPr>
              <w:rPr>
                <w:noProof/>
                <w:color w:val="000000"/>
                <w:lang w:val="en-GB" w:eastAsia="en-GB"/>
              </w:rPr>
            </w:pPr>
            <w:r w:rsidRPr="00DF2328">
              <w:rPr>
                <w:noProof/>
                <w:color w:val="000000"/>
                <w:lang w:val="en-US"/>
              </w:rPr>
              <w:t> </w:t>
            </w:r>
          </w:p>
        </w:tc>
        <w:tc>
          <w:tcPr>
            <w:tcW w:w="2320" w:type="dxa"/>
            <w:noWrap/>
            <w:vAlign w:val="bottom"/>
            <w:hideMark/>
          </w:tcPr>
          <w:p w14:paraId="619FEEEF" w14:textId="77777777" w:rsidR="00DF2328" w:rsidRDefault="00DF2328">
            <w:pPr>
              <w:rPr>
                <w:noProof/>
                <w:color w:val="000000"/>
              </w:rPr>
            </w:pPr>
            <w:r>
              <w:rPr>
                <w:noProof/>
                <w:color w:val="000000"/>
              </w:rPr>
              <w:t>Fully compliant</w:t>
            </w:r>
          </w:p>
        </w:tc>
      </w:tr>
      <w:tr w:rsidR="00DF2328" w14:paraId="2E24BC80" w14:textId="77777777" w:rsidTr="00DF2328">
        <w:trPr>
          <w:trHeight w:val="300"/>
        </w:trPr>
        <w:tc>
          <w:tcPr>
            <w:tcW w:w="4680" w:type="dxa"/>
            <w:noWrap/>
            <w:vAlign w:val="bottom"/>
            <w:hideMark/>
          </w:tcPr>
          <w:p w14:paraId="0107438C" w14:textId="77777777" w:rsidR="00DF2328" w:rsidRDefault="00DF2328">
            <w:pPr>
              <w:rPr>
                <w:noProof/>
                <w:color w:val="000000"/>
              </w:rPr>
            </w:pPr>
          </w:p>
        </w:tc>
        <w:tc>
          <w:tcPr>
            <w:tcW w:w="2500" w:type="dxa"/>
            <w:shd w:val="clear" w:color="auto" w:fill="FFC000"/>
            <w:noWrap/>
            <w:vAlign w:val="bottom"/>
            <w:hideMark/>
          </w:tcPr>
          <w:p w14:paraId="0EB6EFAF" w14:textId="77777777" w:rsidR="00DF2328" w:rsidRDefault="00DF2328">
            <w:pPr>
              <w:rPr>
                <w:noProof/>
                <w:color w:val="000000"/>
                <w:lang w:val="en-GB" w:eastAsia="en-GB"/>
              </w:rPr>
            </w:pPr>
            <w:r>
              <w:rPr>
                <w:noProof/>
                <w:color w:val="000000"/>
              </w:rPr>
              <w:t> </w:t>
            </w:r>
          </w:p>
        </w:tc>
        <w:tc>
          <w:tcPr>
            <w:tcW w:w="2320" w:type="dxa"/>
            <w:noWrap/>
            <w:vAlign w:val="bottom"/>
            <w:hideMark/>
          </w:tcPr>
          <w:p w14:paraId="1B15CB4B" w14:textId="77777777" w:rsidR="00DF2328" w:rsidRDefault="00DF2328">
            <w:pPr>
              <w:rPr>
                <w:noProof/>
                <w:color w:val="000000"/>
              </w:rPr>
            </w:pPr>
            <w:r>
              <w:rPr>
                <w:noProof/>
                <w:color w:val="000000"/>
              </w:rPr>
              <w:t>Partly compliant</w:t>
            </w:r>
          </w:p>
        </w:tc>
      </w:tr>
      <w:tr w:rsidR="00DF2328" w14:paraId="24B93437" w14:textId="77777777" w:rsidTr="00DF2328">
        <w:trPr>
          <w:trHeight w:val="300"/>
        </w:trPr>
        <w:tc>
          <w:tcPr>
            <w:tcW w:w="4680" w:type="dxa"/>
            <w:noWrap/>
            <w:vAlign w:val="bottom"/>
            <w:hideMark/>
          </w:tcPr>
          <w:p w14:paraId="526037D4" w14:textId="77777777" w:rsidR="00DF2328" w:rsidRDefault="00DF2328">
            <w:pPr>
              <w:rPr>
                <w:noProof/>
                <w:color w:val="000000"/>
              </w:rPr>
            </w:pPr>
          </w:p>
        </w:tc>
        <w:tc>
          <w:tcPr>
            <w:tcW w:w="2500" w:type="dxa"/>
            <w:shd w:val="clear" w:color="auto" w:fill="FF0000"/>
            <w:noWrap/>
            <w:vAlign w:val="bottom"/>
            <w:hideMark/>
          </w:tcPr>
          <w:p w14:paraId="504AA07C" w14:textId="77777777" w:rsidR="00DF2328" w:rsidRDefault="00DF2328">
            <w:pPr>
              <w:rPr>
                <w:noProof/>
                <w:color w:val="000000"/>
                <w:lang w:val="en-GB" w:eastAsia="en-GB"/>
              </w:rPr>
            </w:pPr>
            <w:r>
              <w:rPr>
                <w:noProof/>
                <w:color w:val="000000"/>
              </w:rPr>
              <w:t> </w:t>
            </w:r>
          </w:p>
        </w:tc>
        <w:tc>
          <w:tcPr>
            <w:tcW w:w="2320" w:type="dxa"/>
            <w:noWrap/>
            <w:vAlign w:val="bottom"/>
            <w:hideMark/>
          </w:tcPr>
          <w:p w14:paraId="59FB9CBF" w14:textId="77777777" w:rsidR="00DF2328" w:rsidRDefault="00DF2328">
            <w:pPr>
              <w:rPr>
                <w:noProof/>
                <w:color w:val="000000"/>
              </w:rPr>
            </w:pPr>
            <w:r>
              <w:rPr>
                <w:noProof/>
                <w:color w:val="000000"/>
              </w:rPr>
              <w:t>Not compliant</w:t>
            </w:r>
          </w:p>
        </w:tc>
      </w:tr>
    </w:tbl>
    <w:p w14:paraId="7014D9E0" w14:textId="77777777" w:rsidR="00DF2328" w:rsidRPr="0087653C" w:rsidRDefault="00DF2328" w:rsidP="000E4A3F">
      <w:pPr>
        <w:spacing w:before="120" w:after="120" w:line="240" w:lineRule="auto"/>
        <w:rPr>
          <w:sz w:val="24"/>
          <w:szCs w:val="24"/>
        </w:rPr>
      </w:pPr>
    </w:p>
    <w:sectPr w:rsidR="00DF2328" w:rsidRPr="008765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7DD7"/>
    <w:multiLevelType w:val="multilevel"/>
    <w:tmpl w:val="DFBC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141B89"/>
    <w:multiLevelType w:val="multilevel"/>
    <w:tmpl w:val="1458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7A5F75"/>
    <w:multiLevelType w:val="multilevel"/>
    <w:tmpl w:val="91726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D11DA0"/>
    <w:multiLevelType w:val="multilevel"/>
    <w:tmpl w:val="7174C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E70443"/>
    <w:multiLevelType w:val="multilevel"/>
    <w:tmpl w:val="47AC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DD7862"/>
    <w:multiLevelType w:val="multilevel"/>
    <w:tmpl w:val="22208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F139F2"/>
    <w:multiLevelType w:val="multilevel"/>
    <w:tmpl w:val="4B08F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B952C3"/>
    <w:multiLevelType w:val="multilevel"/>
    <w:tmpl w:val="9FDC3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4C307F"/>
    <w:multiLevelType w:val="hybridMultilevel"/>
    <w:tmpl w:val="57EA35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F220C21"/>
    <w:multiLevelType w:val="multilevel"/>
    <w:tmpl w:val="EDE85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D062BD1"/>
    <w:multiLevelType w:val="multilevel"/>
    <w:tmpl w:val="7E8C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A52E41"/>
    <w:multiLevelType w:val="multilevel"/>
    <w:tmpl w:val="80502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0"/>
  </w:num>
  <w:num w:numId="4">
    <w:abstractNumId w:val="2"/>
  </w:num>
  <w:num w:numId="5">
    <w:abstractNumId w:val="7"/>
  </w:num>
  <w:num w:numId="6">
    <w:abstractNumId w:val="3"/>
  </w:num>
  <w:num w:numId="7">
    <w:abstractNumId w:val="9"/>
  </w:num>
  <w:num w:numId="8">
    <w:abstractNumId w:val="11"/>
  </w:num>
  <w:num w:numId="9">
    <w:abstractNumId w:val="1"/>
  </w:num>
  <w:num w:numId="10">
    <w:abstractNumId w:val="1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53C"/>
    <w:rsid w:val="000E4A3F"/>
    <w:rsid w:val="000E6959"/>
    <w:rsid w:val="00604C94"/>
    <w:rsid w:val="0087653C"/>
    <w:rsid w:val="00DF2328"/>
    <w:rsid w:val="00E86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7AA24"/>
  <w15:chartTrackingRefBased/>
  <w15:docId w15:val="{E6800252-34FD-42D2-912B-4CA3A16E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rynqvb">
    <w:name w:val="rynqvb"/>
    <w:basedOn w:val="Domylnaczcionkaakapitu"/>
    <w:rsid w:val="0087653C"/>
  </w:style>
  <w:style w:type="character" w:styleId="Hipercze">
    <w:name w:val="Hyperlink"/>
    <w:basedOn w:val="Domylnaczcionkaakapitu"/>
    <w:uiPriority w:val="99"/>
    <w:unhideWhenUsed/>
    <w:rsid w:val="0087653C"/>
    <w:rPr>
      <w:color w:val="0563C1" w:themeColor="hyperlink"/>
      <w:u w:val="single"/>
    </w:rPr>
  </w:style>
  <w:style w:type="character" w:styleId="Nierozpoznanawzmianka">
    <w:name w:val="Unresolved Mention"/>
    <w:basedOn w:val="Domylnaczcionkaakapitu"/>
    <w:uiPriority w:val="99"/>
    <w:semiHidden/>
    <w:unhideWhenUsed/>
    <w:rsid w:val="0087653C"/>
    <w:rPr>
      <w:color w:val="605E5C"/>
      <w:shd w:val="clear" w:color="auto" w:fill="E1DFDD"/>
    </w:rPr>
  </w:style>
  <w:style w:type="paragraph" w:styleId="Akapitzlist">
    <w:name w:val="List Paragraph"/>
    <w:basedOn w:val="Normalny"/>
    <w:uiPriority w:val="34"/>
    <w:qFormat/>
    <w:rsid w:val="00DF2328"/>
    <w:pPr>
      <w:spacing w:after="0" w:line="240" w:lineRule="auto"/>
      <w:ind w:left="720"/>
      <w:contextualSpacing/>
    </w:pPr>
    <w:rPr>
      <w:rFonts w:ascii="Times New Roman" w:eastAsia="Times New Roman" w:hAnsi="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339154">
      <w:bodyDiv w:val="1"/>
      <w:marLeft w:val="0"/>
      <w:marRight w:val="0"/>
      <w:marTop w:val="0"/>
      <w:marBottom w:val="0"/>
      <w:divBdr>
        <w:top w:val="none" w:sz="0" w:space="0" w:color="auto"/>
        <w:left w:val="none" w:sz="0" w:space="0" w:color="auto"/>
        <w:bottom w:val="none" w:sz="0" w:space="0" w:color="auto"/>
        <w:right w:val="none" w:sz="0" w:space="0" w:color="auto"/>
      </w:divBdr>
    </w:div>
    <w:div w:id="746809238">
      <w:bodyDiv w:val="1"/>
      <w:marLeft w:val="0"/>
      <w:marRight w:val="0"/>
      <w:marTop w:val="0"/>
      <w:marBottom w:val="0"/>
      <w:divBdr>
        <w:top w:val="none" w:sz="0" w:space="0" w:color="auto"/>
        <w:left w:val="none" w:sz="0" w:space="0" w:color="auto"/>
        <w:bottom w:val="none" w:sz="0" w:space="0" w:color="auto"/>
        <w:right w:val="none" w:sz="0" w:space="0" w:color="auto"/>
      </w:divBdr>
    </w:div>
    <w:div w:id="2088308262">
      <w:bodyDiv w:val="1"/>
      <w:marLeft w:val="0"/>
      <w:marRight w:val="0"/>
      <w:marTop w:val="0"/>
      <w:marBottom w:val="0"/>
      <w:divBdr>
        <w:top w:val="none" w:sz="0" w:space="0" w:color="auto"/>
        <w:left w:val="none" w:sz="0" w:space="0" w:color="auto"/>
        <w:bottom w:val="none" w:sz="0" w:space="0" w:color="auto"/>
        <w:right w:val="none" w:sz="0" w:space="0" w:color="auto"/>
      </w:divBdr>
      <w:divsChild>
        <w:div w:id="625962576">
          <w:marLeft w:val="0"/>
          <w:marRight w:val="0"/>
          <w:marTop w:val="0"/>
          <w:marBottom w:val="0"/>
          <w:divBdr>
            <w:top w:val="none" w:sz="0" w:space="0" w:color="auto"/>
            <w:left w:val="none" w:sz="0" w:space="0" w:color="auto"/>
            <w:bottom w:val="none" w:sz="0" w:space="0" w:color="auto"/>
            <w:right w:val="none" w:sz="0" w:space="0" w:color="auto"/>
          </w:divBdr>
        </w:div>
      </w:divsChild>
    </w:div>
    <w:div w:id="2125616596">
      <w:bodyDiv w:val="1"/>
      <w:marLeft w:val="0"/>
      <w:marRight w:val="0"/>
      <w:marTop w:val="0"/>
      <w:marBottom w:val="0"/>
      <w:divBdr>
        <w:top w:val="none" w:sz="0" w:space="0" w:color="auto"/>
        <w:left w:val="none" w:sz="0" w:space="0" w:color="auto"/>
        <w:bottom w:val="none" w:sz="0" w:space="0" w:color="auto"/>
        <w:right w:val="none" w:sz="0" w:space="0" w:color="auto"/>
      </w:divBdr>
      <w:divsChild>
        <w:div w:id="176623681">
          <w:marLeft w:val="0"/>
          <w:marRight w:val="0"/>
          <w:marTop w:val="0"/>
          <w:marBottom w:val="0"/>
          <w:divBdr>
            <w:top w:val="none" w:sz="0" w:space="0" w:color="auto"/>
            <w:left w:val="none" w:sz="0" w:space="0" w:color="auto"/>
            <w:bottom w:val="none" w:sz="0" w:space="0" w:color="auto"/>
            <w:right w:val="none" w:sz="0" w:space="0" w:color="auto"/>
          </w:divBdr>
          <w:divsChild>
            <w:div w:id="319623596">
              <w:marLeft w:val="0"/>
              <w:marRight w:val="0"/>
              <w:marTop w:val="0"/>
              <w:marBottom w:val="0"/>
              <w:divBdr>
                <w:top w:val="none" w:sz="0" w:space="0" w:color="auto"/>
                <w:left w:val="none" w:sz="0" w:space="0" w:color="auto"/>
                <w:bottom w:val="none" w:sz="0" w:space="0" w:color="auto"/>
                <w:right w:val="none" w:sz="0" w:space="0" w:color="auto"/>
              </w:divBdr>
              <w:divsChild>
                <w:div w:id="8765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727565">
          <w:marLeft w:val="0"/>
          <w:marRight w:val="0"/>
          <w:marTop w:val="0"/>
          <w:marBottom w:val="0"/>
          <w:divBdr>
            <w:top w:val="none" w:sz="0" w:space="0" w:color="auto"/>
            <w:left w:val="none" w:sz="0" w:space="0" w:color="auto"/>
            <w:bottom w:val="none" w:sz="0" w:space="0" w:color="auto"/>
            <w:right w:val="none" w:sz="0" w:space="0" w:color="auto"/>
          </w:divBdr>
          <w:divsChild>
            <w:div w:id="888108242">
              <w:marLeft w:val="0"/>
              <w:marRight w:val="0"/>
              <w:marTop w:val="0"/>
              <w:marBottom w:val="0"/>
              <w:divBdr>
                <w:top w:val="none" w:sz="0" w:space="0" w:color="auto"/>
                <w:left w:val="none" w:sz="0" w:space="0" w:color="auto"/>
                <w:bottom w:val="none" w:sz="0" w:space="0" w:color="auto"/>
                <w:right w:val="none" w:sz="0" w:space="0" w:color="auto"/>
              </w:divBdr>
              <w:divsChild>
                <w:div w:id="535512172">
                  <w:marLeft w:val="0"/>
                  <w:marRight w:val="0"/>
                  <w:marTop w:val="0"/>
                  <w:marBottom w:val="0"/>
                  <w:divBdr>
                    <w:top w:val="none" w:sz="0" w:space="0" w:color="auto"/>
                    <w:left w:val="none" w:sz="0" w:space="0" w:color="auto"/>
                    <w:bottom w:val="none" w:sz="0" w:space="0" w:color="auto"/>
                    <w:right w:val="none" w:sz="0" w:space="0" w:color="auto"/>
                  </w:divBdr>
                </w:div>
                <w:div w:id="1418670969">
                  <w:marLeft w:val="0"/>
                  <w:marRight w:val="0"/>
                  <w:marTop w:val="0"/>
                  <w:marBottom w:val="0"/>
                  <w:divBdr>
                    <w:top w:val="none" w:sz="0" w:space="0" w:color="auto"/>
                    <w:left w:val="none" w:sz="0" w:space="0" w:color="auto"/>
                    <w:bottom w:val="none" w:sz="0" w:space="0" w:color="auto"/>
                    <w:right w:val="none" w:sz="0" w:space="0" w:color="auto"/>
                  </w:divBdr>
                  <w:divsChild>
                    <w:div w:id="1468663949">
                      <w:marLeft w:val="0"/>
                      <w:marRight w:val="0"/>
                      <w:marTop w:val="0"/>
                      <w:marBottom w:val="0"/>
                      <w:divBdr>
                        <w:top w:val="none" w:sz="0" w:space="0" w:color="auto"/>
                        <w:left w:val="none" w:sz="0" w:space="0" w:color="auto"/>
                        <w:bottom w:val="none" w:sz="0" w:space="0" w:color="auto"/>
                        <w:right w:val="none" w:sz="0" w:space="0" w:color="auto"/>
                      </w:divBdr>
                      <w:divsChild>
                        <w:div w:id="865950975">
                          <w:marLeft w:val="0"/>
                          <w:marRight w:val="0"/>
                          <w:marTop w:val="0"/>
                          <w:marBottom w:val="0"/>
                          <w:divBdr>
                            <w:top w:val="none" w:sz="0" w:space="0" w:color="auto"/>
                            <w:left w:val="none" w:sz="0" w:space="0" w:color="auto"/>
                            <w:bottom w:val="none" w:sz="0" w:space="0" w:color="auto"/>
                            <w:right w:val="none" w:sz="0" w:space="0" w:color="auto"/>
                          </w:divBdr>
                          <w:divsChild>
                            <w:div w:id="5285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13965">
                      <w:marLeft w:val="0"/>
                      <w:marRight w:val="0"/>
                      <w:marTop w:val="0"/>
                      <w:marBottom w:val="0"/>
                      <w:divBdr>
                        <w:top w:val="none" w:sz="0" w:space="0" w:color="auto"/>
                        <w:left w:val="none" w:sz="0" w:space="0" w:color="auto"/>
                        <w:bottom w:val="none" w:sz="0" w:space="0" w:color="auto"/>
                        <w:right w:val="none" w:sz="0" w:space="0" w:color="auto"/>
                      </w:divBdr>
                      <w:divsChild>
                        <w:div w:id="1609046001">
                          <w:marLeft w:val="0"/>
                          <w:marRight w:val="0"/>
                          <w:marTop w:val="0"/>
                          <w:marBottom w:val="0"/>
                          <w:divBdr>
                            <w:top w:val="none" w:sz="0" w:space="0" w:color="auto"/>
                            <w:left w:val="none" w:sz="0" w:space="0" w:color="auto"/>
                            <w:bottom w:val="none" w:sz="0" w:space="0" w:color="auto"/>
                            <w:right w:val="none" w:sz="0" w:space="0" w:color="auto"/>
                          </w:divBdr>
                          <w:divsChild>
                            <w:div w:id="1031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89896">
          <w:marLeft w:val="0"/>
          <w:marRight w:val="0"/>
          <w:marTop w:val="0"/>
          <w:marBottom w:val="0"/>
          <w:divBdr>
            <w:top w:val="none" w:sz="0" w:space="0" w:color="auto"/>
            <w:left w:val="none" w:sz="0" w:space="0" w:color="auto"/>
            <w:bottom w:val="none" w:sz="0" w:space="0" w:color="auto"/>
            <w:right w:val="none" w:sz="0" w:space="0" w:color="auto"/>
          </w:divBdr>
          <w:divsChild>
            <w:div w:id="830683406">
              <w:marLeft w:val="0"/>
              <w:marRight w:val="0"/>
              <w:marTop w:val="0"/>
              <w:marBottom w:val="0"/>
              <w:divBdr>
                <w:top w:val="none" w:sz="0" w:space="0" w:color="auto"/>
                <w:left w:val="none" w:sz="0" w:space="0" w:color="auto"/>
                <w:bottom w:val="none" w:sz="0" w:space="0" w:color="auto"/>
                <w:right w:val="none" w:sz="0" w:space="0" w:color="auto"/>
              </w:divBdr>
              <w:divsChild>
                <w:div w:id="136251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ocial/BlobServlet?docId=27476&amp;langId=en" TargetMode="External"/><Relationship Id="rId13" Type="http://schemas.openxmlformats.org/officeDocument/2006/relationships/hyperlink" Target="https://employment-social-affairs.ec.europa.eu/news/traineeships-commission-evaluation-analyses-impact-european-quality-framework-2023-01-10_en" TargetMode="External"/><Relationship Id="rId18" Type="http://schemas.openxmlformats.org/officeDocument/2006/relationships/hyperlink" Target="https://ec.europa.eu/social/BlobServlet?docId=21205&amp;langId=en" TargetMode="External"/><Relationship Id="rId26" Type="http://schemas.openxmlformats.org/officeDocument/2006/relationships/hyperlink" Target="https://eures.europa.eu/index_en" TargetMode="External"/><Relationship Id="rId39" Type="http://schemas.openxmlformats.org/officeDocument/2006/relationships/hyperlink" Target="https://commission.europa.eu/strategy-and-policy/priorities-2019-2024/new-push-european-democracy/conference-future-europe_en" TargetMode="External"/><Relationship Id="rId3" Type="http://schemas.openxmlformats.org/officeDocument/2006/relationships/settings" Target="settings.xml"/><Relationship Id="rId21" Type="http://schemas.openxmlformats.org/officeDocument/2006/relationships/hyperlink" Target="https://ec.europa.eu/commission/presscorner/detail/en/IP_13_1161" TargetMode="External"/><Relationship Id="rId34" Type="http://schemas.openxmlformats.org/officeDocument/2006/relationships/hyperlink" Target="https://eur-lex.europa.eu/legal-content/EN/TXT/?uri=comnat:COM_2024_0133_FIN" TargetMode="External"/><Relationship Id="rId42" Type="http://schemas.openxmlformats.org/officeDocument/2006/relationships/hyperlink" Target="https://employment-social-affairs.ec.europa.eu/policies-and-activities/eu-employment-policies/youth-employment-support/reinforced-youth-guarantee_en" TargetMode="External"/><Relationship Id="rId7" Type="http://schemas.openxmlformats.org/officeDocument/2006/relationships/hyperlink" Target="https://ec.europa.eu/social/BlobServlet?docId=27475&amp;langId=en" TargetMode="External"/><Relationship Id="rId12" Type="http://schemas.openxmlformats.org/officeDocument/2006/relationships/hyperlink" Target="https://eur-lex.europa.eu/legal-content/EN/TXT/?qid=1411116781313&amp;uri=CELEX:32014H0327%2801%29" TargetMode="External"/><Relationship Id="rId17" Type="http://schemas.openxmlformats.org/officeDocument/2006/relationships/hyperlink" Target="https://ec.europa.eu/social/BlobServlet?docId=16238&amp;langId=en" TargetMode="External"/><Relationship Id="rId25" Type="http://schemas.openxmlformats.org/officeDocument/2006/relationships/hyperlink" Target="https://op.europa.eu/en/publication-detail/-/publication/2bed64d1-4c55-11e9-a8ed-01aa75ed71a1/language-en" TargetMode="External"/><Relationship Id="rId33" Type="http://schemas.openxmlformats.org/officeDocument/2006/relationships/hyperlink" Target="https://eur-lex.europa.eu/legal-content/EN/TXT/?uri=CELEX%3A52024PC0132" TargetMode="External"/><Relationship Id="rId38" Type="http://schemas.openxmlformats.org/officeDocument/2006/relationships/hyperlink" Target="https://www.europarl.europa.eu/doceo/document/TA-9-2023-0239_EN.pdf" TargetMode="External"/><Relationship Id="rId2" Type="http://schemas.openxmlformats.org/officeDocument/2006/relationships/styles" Target="styles.xml"/><Relationship Id="rId16" Type="http://schemas.openxmlformats.org/officeDocument/2006/relationships/hyperlink" Target="https://eur-lex.europa.eu/legal-content/EN/TXT/?uri=CELEX%3A52016DC0646" TargetMode="External"/><Relationship Id="rId20" Type="http://schemas.openxmlformats.org/officeDocument/2006/relationships/hyperlink" Target="https://europa.eu/eurobarometer/surveys/detail/2964" TargetMode="External"/><Relationship Id="rId29" Type="http://schemas.openxmlformats.org/officeDocument/2006/relationships/hyperlink" Target="https://digital-skills-jobs.europa.eu/en/inspiration/good-practices/digital-opportunity-traineeships" TargetMode="External"/><Relationship Id="rId41" Type="http://schemas.openxmlformats.org/officeDocument/2006/relationships/hyperlink" Target="https://year-of-skills.europa.eu/index_en" TargetMode="External"/><Relationship Id="rId1" Type="http://schemas.openxmlformats.org/officeDocument/2006/relationships/numbering" Target="numbering.xml"/><Relationship Id="rId6" Type="http://schemas.openxmlformats.org/officeDocument/2006/relationships/hyperlink" Target="https://employment-social-affairs.ec.europa.eu/policies-and-activities/eu-employment-policies/youth-employment-support/traineeships_en" TargetMode="External"/><Relationship Id="rId11" Type="http://schemas.openxmlformats.org/officeDocument/2006/relationships/hyperlink" Target="https://op.europa.eu/en/publication-detail/-/publication/acc456fb-381d-11ef-b441-01aa75ed71a1" TargetMode="External"/><Relationship Id="rId24" Type="http://schemas.openxmlformats.org/officeDocument/2006/relationships/hyperlink" Target="https://employment-social-affairs.ec.europa.eu/policies-and-activities/european-employment-strategy/youth-employment-support/reinforced-youth-guarantee_en" TargetMode="External"/><Relationship Id="rId32" Type="http://schemas.openxmlformats.org/officeDocument/2006/relationships/hyperlink" Target="https://europa.eu/youth/go-abroad/traineeships_en" TargetMode="External"/><Relationship Id="rId37" Type="http://schemas.openxmlformats.org/officeDocument/2006/relationships/hyperlink" Target="https://employment-social-affairs.ec.europa.eu/news/eurobarometer-survey-shows-traineeships-help-young-people-land-their-first-job-2023-06-06_en" TargetMode="External"/><Relationship Id="rId40" Type="http://schemas.openxmlformats.org/officeDocument/2006/relationships/hyperlink" Target="https://youth.europa.eu/year-of-youth_en" TargetMode="External"/><Relationship Id="rId45" Type="http://schemas.openxmlformats.org/officeDocument/2006/relationships/theme" Target="theme/theme1.xml"/><Relationship Id="rId5" Type="http://schemas.openxmlformats.org/officeDocument/2006/relationships/hyperlink" Target="https://employment-social-affairs.ec.europa.eu/news/commission-takes-action-improve-quality-traineeships-eu-2024-03-20_en" TargetMode="External"/><Relationship Id="rId15" Type="http://schemas.openxmlformats.org/officeDocument/2006/relationships/hyperlink" Target="https://ec.europa.eu/social/BlobServlet?docId=26544&amp;langId=en" TargetMode="External"/><Relationship Id="rId23" Type="http://schemas.openxmlformats.org/officeDocument/2006/relationships/hyperlink" Target="https://www.eurofound.europa.eu/publications/information-sheet/2017/fraudulent-contracting-of-work-abusing-traineeship-status-austria-finland-spain-and-uk" TargetMode="External"/><Relationship Id="rId28" Type="http://schemas.openxmlformats.org/officeDocument/2006/relationships/hyperlink" Target="https://ec.europa.eu/programmes/erasmus-plus/opportunities/traineeships-students_en" TargetMode="External"/><Relationship Id="rId36" Type="http://schemas.openxmlformats.org/officeDocument/2006/relationships/hyperlink" Target="https://ec.europa.eu/commission/presscorner/detail/en/ip_23_71" TargetMode="External"/><Relationship Id="rId10" Type="http://schemas.openxmlformats.org/officeDocument/2006/relationships/hyperlink" Target="https://ec.europa.eu/social/BlobServlet?docId=27477&amp;langId=en" TargetMode="External"/><Relationship Id="rId19" Type="http://schemas.openxmlformats.org/officeDocument/2006/relationships/hyperlink" Target="https://ec.europa.eu/social/BlobServlet?docId=18744&amp;langId=en" TargetMode="External"/><Relationship Id="rId31" Type="http://schemas.openxmlformats.org/officeDocument/2006/relationships/hyperlink" Target="https://traineeships.ec.europa.eu/index_e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mployment-social-affairs.ec.europa.eu/news/traineeships-commission-evaluation-analyses-impact-european-quality-framework-2023-01-10_en" TargetMode="External"/><Relationship Id="rId14" Type="http://schemas.openxmlformats.org/officeDocument/2006/relationships/hyperlink" Target="https://eur-lex.europa.eu/legal-content/EN/TXT/PDF/?uri=CELEX:52023SC0009&amp;from=EN" TargetMode="External"/><Relationship Id="rId22" Type="http://schemas.openxmlformats.org/officeDocument/2006/relationships/hyperlink" Target="https://ec.europa.eu/social/BlobServlet?docId=24300&amp;langId=en" TargetMode="External"/><Relationship Id="rId27" Type="http://schemas.openxmlformats.org/officeDocument/2006/relationships/hyperlink" Target="https://eures.europa.eu/living-and-working/living-and-working-conditions_en" TargetMode="External"/><Relationship Id="rId30" Type="http://schemas.openxmlformats.org/officeDocument/2006/relationships/hyperlink" Target="https://ec.europa.eu/programmes/erasmus-plus/opportunities/traineeships-students_en" TargetMode="External"/><Relationship Id="rId35" Type="http://schemas.openxmlformats.org/officeDocument/2006/relationships/hyperlink" Target="https://eur-lex.europa.eu/legal-content/en/ALL/?uri=CELEX:32014H0327(01)" TargetMode="External"/><Relationship Id="rId43" Type="http://schemas.openxmlformats.org/officeDocument/2006/relationships/hyperlink" Target="https://eur-lex.europa.eu/legal-content/PL/TXT/PDF/?uri=CELEX:52024DC013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3135</Words>
  <Characters>18811</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Sadowski</dc:creator>
  <cp:keywords/>
  <dc:description/>
  <cp:lastModifiedBy>Lenovo 52020</cp:lastModifiedBy>
  <cp:revision>2</cp:revision>
  <dcterms:created xsi:type="dcterms:W3CDTF">2025-12-22T07:29:00Z</dcterms:created>
  <dcterms:modified xsi:type="dcterms:W3CDTF">2025-12-22T07:29:00Z</dcterms:modified>
</cp:coreProperties>
</file>